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FF" w:rsidRPr="00797B2E" w:rsidRDefault="003856FF" w:rsidP="00F74659">
      <w:pPr>
        <w:pStyle w:val="Default"/>
        <w:tabs>
          <w:tab w:val="left" w:pos="7215"/>
        </w:tabs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57780B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</w:t>
      </w:r>
      <w:bookmarkStart w:id="0" w:name="_GoBack"/>
      <w:bookmarkEnd w:id="0"/>
      <w:r w:rsidRPr="00797B2E">
        <w:rPr>
          <w:rFonts w:ascii="Arial" w:hAnsi="Arial" w:cs="Arial"/>
          <w:color w:val="000000" w:themeColor="text1"/>
        </w:rPr>
        <w:t>НОГО РАЙОНА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ПОСТАНОВЛЕНИЕ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57780B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 Бондарево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57780B">
        <w:rPr>
          <w:b w:val="0"/>
          <w:color w:val="000000" w:themeColor="text1"/>
          <w:sz w:val="24"/>
          <w:szCs w:val="24"/>
        </w:rPr>
        <w:t>Бондаревского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856FF" w:rsidRDefault="00BF41D1" w:rsidP="0057780B">
      <w:pPr>
        <w:pStyle w:val="Default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677D16" w:rsidRPr="00797B2E" w:rsidRDefault="00677D16" w:rsidP="0057780B">
      <w:pPr>
        <w:pStyle w:val="Default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Default="0057780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Pr="00797B2E" w:rsidRDefault="0057780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2220"/>
      </w:tblGrid>
      <w:tr w:rsidR="00797B2E" w:rsidRPr="00797B2E" w:rsidTr="0057780B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57780B" w:rsidRPr="0057780B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797B2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0" w:type="dxa"/>
            <w:shd w:val="clear" w:color="auto" w:fill="auto"/>
          </w:tcPr>
          <w:p w:rsidR="0057780B" w:rsidRDefault="0057780B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856FF" w:rsidRPr="00797B2E" w:rsidRDefault="0057780B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3856FF" w:rsidRPr="00797B2E" w:rsidRDefault="003856FF" w:rsidP="00677D16">
      <w:pPr>
        <w:pStyle w:val="Default"/>
        <w:ind w:left="5103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>УТВЕРЖДЕНА</w:t>
      </w:r>
    </w:p>
    <w:p w:rsidR="00677D16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856FF" w:rsidRPr="00797B2E" w:rsidRDefault="003856FF" w:rsidP="00677D16">
      <w:pPr>
        <w:pStyle w:val="Default"/>
        <w:ind w:left="5103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от </w:t>
      </w:r>
      <w:r w:rsidR="00C4131D" w:rsidRPr="00797B2E">
        <w:rPr>
          <w:rFonts w:ascii="Arial" w:hAnsi="Arial" w:cs="Arial"/>
          <w:color w:val="000000" w:themeColor="text1"/>
        </w:rPr>
        <w:t>__________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C4131D" w:rsidRPr="00797B2E">
        <w:rPr>
          <w:rFonts w:ascii="Arial" w:hAnsi="Arial" w:cs="Arial"/>
          <w:color w:val="000000" w:themeColor="text1"/>
        </w:rPr>
        <w:t>___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0D4D34">
        <w:rPr>
          <w:rFonts w:ascii="Arial" w:hAnsi="Arial" w:cs="Arial"/>
          <w:color w:val="000000" w:themeColor="text1"/>
        </w:rPr>
        <w:t>____________________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0D4D34">
        <w:rPr>
          <w:rFonts w:ascii="Arial" w:hAnsi="Arial" w:cs="Arial"/>
          <w:color w:val="000000" w:themeColor="text1"/>
        </w:rPr>
        <w:t>____________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 _________________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r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E0" w:rsidRDefault="00884AE0">
      <w:r>
        <w:separator/>
      </w:r>
    </w:p>
  </w:endnote>
  <w:endnote w:type="continuationSeparator" w:id="0">
    <w:p w:rsidR="00884AE0" w:rsidRDefault="0088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884A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884A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884A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E0" w:rsidRDefault="00884AE0">
      <w:r>
        <w:separator/>
      </w:r>
    </w:p>
  </w:footnote>
  <w:footnote w:type="continuationSeparator" w:id="0">
    <w:p w:rsidR="00884AE0" w:rsidRDefault="0088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884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884A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77D16" w:rsidP="00677D16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F5C5E"/>
    <w:rsid w:val="003856FF"/>
    <w:rsid w:val="0039787F"/>
    <w:rsid w:val="0045066F"/>
    <w:rsid w:val="004B48DF"/>
    <w:rsid w:val="00524F35"/>
    <w:rsid w:val="0057780B"/>
    <w:rsid w:val="005B5314"/>
    <w:rsid w:val="005E08D8"/>
    <w:rsid w:val="00626A5E"/>
    <w:rsid w:val="00634221"/>
    <w:rsid w:val="0067388B"/>
    <w:rsid w:val="00677D16"/>
    <w:rsid w:val="006B557D"/>
    <w:rsid w:val="006E2CDC"/>
    <w:rsid w:val="00706E41"/>
    <w:rsid w:val="00797B2E"/>
    <w:rsid w:val="007C3872"/>
    <w:rsid w:val="007E53F0"/>
    <w:rsid w:val="00884AE0"/>
    <w:rsid w:val="00A91ECB"/>
    <w:rsid w:val="00B2590E"/>
    <w:rsid w:val="00B56FB5"/>
    <w:rsid w:val="00BF41D1"/>
    <w:rsid w:val="00C4131D"/>
    <w:rsid w:val="00C76CE5"/>
    <w:rsid w:val="00C836BE"/>
    <w:rsid w:val="00D73B50"/>
    <w:rsid w:val="00DA5777"/>
    <w:rsid w:val="00EC6D6E"/>
    <w:rsid w:val="00ED7057"/>
    <w:rsid w:val="00F7465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E7E5-B864-4848-A1B1-BBF26FA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40</cp:revision>
  <dcterms:created xsi:type="dcterms:W3CDTF">2021-12-10T11:31:00Z</dcterms:created>
  <dcterms:modified xsi:type="dcterms:W3CDTF">2022-10-04T07:53:00Z</dcterms:modified>
</cp:coreProperties>
</file>