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6C" w:rsidRPr="00350D8F" w:rsidRDefault="0061656C" w:rsidP="0061656C">
      <w:pPr>
        <w:suppressAutoHyphens w:val="0"/>
        <w:ind w:firstLine="709"/>
        <w:jc w:val="center"/>
        <w:rPr>
          <w:rFonts w:ascii="Arial" w:hAnsi="Arial" w:cs="Arial"/>
          <w:color w:val="000000"/>
        </w:rPr>
      </w:pPr>
      <w:r w:rsidRPr="00350D8F">
        <w:rPr>
          <w:rFonts w:ascii="Arial" w:hAnsi="Arial" w:cs="Arial"/>
          <w:bCs/>
          <w:color w:val="000000"/>
        </w:rPr>
        <w:t>АДМИНИСТРАЦИЯ</w:t>
      </w:r>
    </w:p>
    <w:p w:rsidR="0061656C" w:rsidRPr="00350D8F" w:rsidRDefault="0061656C" w:rsidP="0061656C">
      <w:pPr>
        <w:suppressAutoHyphens w:val="0"/>
        <w:ind w:firstLine="709"/>
        <w:jc w:val="center"/>
        <w:rPr>
          <w:rFonts w:ascii="Arial" w:hAnsi="Arial" w:cs="Arial"/>
          <w:bCs/>
          <w:color w:val="000000"/>
        </w:rPr>
      </w:pPr>
      <w:r w:rsidRPr="00350D8F">
        <w:rPr>
          <w:rFonts w:ascii="Arial" w:hAnsi="Arial" w:cs="Arial"/>
          <w:bCs/>
          <w:color w:val="000000"/>
        </w:rPr>
        <w:t>БОНДАРЕВСКОГО СЕЛЬСКОГО ПОСЕЛЕНИЯ</w:t>
      </w:r>
    </w:p>
    <w:p w:rsidR="0061656C" w:rsidRPr="00350D8F" w:rsidRDefault="0061656C" w:rsidP="0061656C">
      <w:pPr>
        <w:suppressAutoHyphens w:val="0"/>
        <w:ind w:firstLine="709"/>
        <w:jc w:val="center"/>
        <w:rPr>
          <w:rFonts w:ascii="Arial" w:hAnsi="Arial" w:cs="Arial"/>
          <w:bCs/>
          <w:color w:val="000000"/>
        </w:rPr>
      </w:pPr>
      <w:r w:rsidRPr="00350D8F">
        <w:rPr>
          <w:rFonts w:ascii="Arial" w:hAnsi="Arial" w:cs="Arial"/>
          <w:bCs/>
          <w:color w:val="000000"/>
        </w:rPr>
        <w:t>КАНТЕМИРОВСКОГО МУНИЦИПАЛЬНОГО РАЙОНА</w:t>
      </w:r>
    </w:p>
    <w:p w:rsidR="0061656C" w:rsidRPr="00350D8F" w:rsidRDefault="0061656C" w:rsidP="0061656C">
      <w:pPr>
        <w:suppressAutoHyphens w:val="0"/>
        <w:ind w:firstLine="709"/>
        <w:jc w:val="center"/>
        <w:rPr>
          <w:rFonts w:ascii="Arial" w:hAnsi="Arial" w:cs="Arial"/>
          <w:bCs/>
          <w:color w:val="000000"/>
        </w:rPr>
      </w:pPr>
      <w:r w:rsidRPr="00350D8F">
        <w:rPr>
          <w:rFonts w:ascii="Arial" w:hAnsi="Arial" w:cs="Arial"/>
          <w:bCs/>
          <w:color w:val="000000"/>
        </w:rPr>
        <w:t>ВОРОНЕЖСКОЙ ОБЛАСТИ</w:t>
      </w:r>
    </w:p>
    <w:p w:rsidR="0061656C" w:rsidRDefault="0061656C" w:rsidP="0061656C">
      <w:pPr>
        <w:suppressAutoHyphens w:val="0"/>
        <w:ind w:firstLine="709"/>
        <w:jc w:val="center"/>
        <w:rPr>
          <w:rFonts w:ascii="Arial" w:hAnsi="Arial" w:cs="Arial"/>
          <w:color w:val="000000"/>
        </w:rPr>
      </w:pPr>
    </w:p>
    <w:p w:rsidR="0061656C" w:rsidRPr="00350D8F" w:rsidRDefault="0061656C" w:rsidP="0061656C">
      <w:pPr>
        <w:suppressAutoHyphens w:val="0"/>
        <w:ind w:firstLine="709"/>
        <w:jc w:val="center"/>
        <w:rPr>
          <w:rFonts w:ascii="Arial" w:hAnsi="Arial" w:cs="Arial"/>
          <w:color w:val="000000"/>
        </w:rPr>
      </w:pPr>
    </w:p>
    <w:p w:rsidR="0061656C" w:rsidRPr="00350D8F" w:rsidRDefault="0061656C" w:rsidP="0061656C">
      <w:pPr>
        <w:suppressAutoHyphens w:val="0"/>
        <w:ind w:firstLine="709"/>
        <w:jc w:val="center"/>
        <w:rPr>
          <w:rFonts w:ascii="Arial" w:hAnsi="Arial" w:cs="Arial"/>
          <w:bCs/>
          <w:color w:val="000000"/>
        </w:rPr>
      </w:pPr>
      <w:r w:rsidRPr="00350D8F">
        <w:rPr>
          <w:rFonts w:ascii="Arial" w:hAnsi="Arial" w:cs="Arial"/>
          <w:bCs/>
          <w:color w:val="000000"/>
        </w:rPr>
        <w:t>ПОСТАНОВЛЕНИЕ</w:t>
      </w:r>
    </w:p>
    <w:p w:rsidR="00EB2BDA" w:rsidRDefault="00EB2BDA">
      <w:pPr>
        <w:ind w:firstLine="709"/>
        <w:jc w:val="both"/>
        <w:rPr>
          <w:rFonts w:ascii="Arial" w:hAnsi="Arial" w:cs="Arial"/>
        </w:rPr>
      </w:pPr>
    </w:p>
    <w:p w:rsidR="0061656C" w:rsidRDefault="0061656C">
      <w:pPr>
        <w:ind w:firstLine="709"/>
        <w:jc w:val="both"/>
        <w:rPr>
          <w:rFonts w:ascii="Arial" w:hAnsi="Arial" w:cs="Arial"/>
        </w:rPr>
      </w:pPr>
    </w:p>
    <w:p w:rsidR="00EB2BDA" w:rsidRDefault="0061656C">
      <w:pPr>
        <w:jc w:val="both"/>
        <w:rPr>
          <w:rFonts w:ascii="Arial" w:hAnsi="Arial" w:cs="Arial"/>
        </w:rPr>
      </w:pPr>
      <w:r w:rsidRPr="0020447B">
        <w:rPr>
          <w:rFonts w:ascii="Arial" w:hAnsi="Arial" w:cs="Arial"/>
        </w:rPr>
        <w:t xml:space="preserve">№ </w:t>
      </w:r>
      <w:r w:rsidR="0020447B" w:rsidRPr="0020447B">
        <w:rPr>
          <w:rFonts w:ascii="Arial" w:hAnsi="Arial" w:cs="Arial"/>
        </w:rPr>
        <w:t>33</w:t>
      </w:r>
      <w:r w:rsidRPr="0020447B">
        <w:rPr>
          <w:rFonts w:ascii="Arial" w:hAnsi="Arial" w:cs="Arial"/>
        </w:rPr>
        <w:t xml:space="preserve"> от 11.11.2021 года</w:t>
      </w:r>
    </w:p>
    <w:p w:rsidR="00EB2BDA" w:rsidRDefault="006165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Бондарево</w:t>
      </w:r>
    </w:p>
    <w:p w:rsidR="00EB2BDA" w:rsidRDefault="00EB2BDA">
      <w:pPr>
        <w:pStyle w:val="af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1656C" w:rsidRDefault="0061656C">
      <w:pPr>
        <w:pStyle w:val="af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B2BDA" w:rsidRDefault="0061656C">
      <w:pPr>
        <w:ind w:right="5102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прогнозе социально-экономического развития Бондаревского сельского поселения Кантемировского муниципального района Воронежской области на 2022 год и на плановый период 2023 и 2024 годов</w:t>
      </w:r>
    </w:p>
    <w:p w:rsidR="00EB2BDA" w:rsidRDefault="00EB2BDA">
      <w:pPr>
        <w:ind w:firstLine="709"/>
        <w:jc w:val="both"/>
        <w:rPr>
          <w:rFonts w:ascii="Arial" w:hAnsi="Arial" w:cs="Arial"/>
        </w:rPr>
      </w:pP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 сводные показатели прогноза развития Бондаревского сельского поселения Кантемировского муниципального района Воронежской области на 2022 год и на плановый период 2023 и 2024 годов, а также проанализировав итоговые показатели за 2021 год и ожидаемое исполнение на 2022 год, администрация Бондаревского сельского поселения Кантемировского муниципального района Воронежской области</w:t>
      </w:r>
    </w:p>
    <w:p w:rsidR="0061656C" w:rsidRDefault="0061656C">
      <w:pPr>
        <w:ind w:firstLine="709"/>
        <w:jc w:val="both"/>
        <w:rPr>
          <w:rFonts w:ascii="Arial" w:hAnsi="Arial" w:cs="Arial"/>
        </w:rPr>
      </w:pPr>
    </w:p>
    <w:p w:rsidR="00EB2BDA" w:rsidRDefault="0061656C" w:rsidP="0061656C">
      <w:pPr>
        <w:jc w:val="center"/>
        <w:rPr>
          <w:rFonts w:ascii="Arial" w:hAnsi="Arial" w:cs="Arial"/>
        </w:rPr>
      </w:pPr>
      <w:r w:rsidRPr="0061656C">
        <w:rPr>
          <w:rFonts w:ascii="Arial" w:hAnsi="Arial" w:cs="Arial"/>
        </w:rPr>
        <w:t>ПОСТАНОВЛЯЕТ</w:t>
      </w:r>
    </w:p>
    <w:p w:rsidR="0061656C" w:rsidRPr="0061656C" w:rsidRDefault="0061656C" w:rsidP="0061656C">
      <w:pPr>
        <w:jc w:val="center"/>
        <w:rPr>
          <w:rFonts w:ascii="Arial" w:hAnsi="Arial" w:cs="Arial"/>
        </w:rPr>
      </w:pPr>
    </w:p>
    <w:p w:rsidR="00EB2BDA" w:rsidRDefault="0061656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Прогноз социально-экономического развития Бондаревского сельского поселения Кантемировского муниципального района Воронежской области на 2022 год и на плановый период 2023 и 2024 годов согласно приложению.</w:t>
      </w:r>
    </w:p>
    <w:p w:rsidR="00EB2BDA" w:rsidRDefault="00EB2BDA">
      <w:pPr>
        <w:ind w:firstLine="709"/>
        <w:jc w:val="both"/>
        <w:rPr>
          <w:rFonts w:ascii="Arial" w:hAnsi="Arial" w:cs="Arial"/>
        </w:rPr>
      </w:pPr>
    </w:p>
    <w:p w:rsidR="00EB2BDA" w:rsidRDefault="0061656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75E50">
        <w:rPr>
          <w:rFonts w:ascii="Arial" w:hAnsi="Arial" w:cs="Arial"/>
        </w:rPr>
        <w:t>Опубликовать настоящее постановление в Вестнике муниципальных правовых актов Бондаревского сельского поселения Кантемировского муниципального района Воронежской области</w:t>
      </w:r>
      <w:r>
        <w:rPr>
          <w:rFonts w:ascii="Arial" w:hAnsi="Arial" w:cs="Arial"/>
        </w:rPr>
        <w:t>.</w:t>
      </w:r>
    </w:p>
    <w:p w:rsidR="00EB2BDA" w:rsidRDefault="00EB2BDA">
      <w:pPr>
        <w:ind w:firstLine="709"/>
        <w:jc w:val="both"/>
        <w:rPr>
          <w:rFonts w:ascii="Arial" w:hAnsi="Arial" w:cs="Arial"/>
        </w:rPr>
      </w:pPr>
    </w:p>
    <w:p w:rsidR="00EB2BDA" w:rsidRDefault="0061656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1E706F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постановл</w:t>
      </w:r>
      <w:r w:rsidRPr="001E706F">
        <w:rPr>
          <w:rFonts w:ascii="Arial" w:hAnsi="Arial" w:cs="Arial"/>
        </w:rPr>
        <w:t>ение вступает в силу с момента его подписания и официального опубликования</w:t>
      </w:r>
      <w:r>
        <w:rPr>
          <w:rFonts w:ascii="Arial" w:hAnsi="Arial" w:cs="Arial"/>
        </w:rPr>
        <w:t>.</w:t>
      </w:r>
    </w:p>
    <w:p w:rsidR="00EB2BDA" w:rsidRDefault="00EB2BDA">
      <w:pPr>
        <w:ind w:firstLine="709"/>
        <w:jc w:val="both"/>
        <w:rPr>
          <w:rFonts w:ascii="Arial" w:hAnsi="Arial" w:cs="Arial"/>
        </w:rPr>
      </w:pPr>
    </w:p>
    <w:p w:rsidR="00EB2BDA" w:rsidRDefault="00EB2BDA">
      <w:pPr>
        <w:ind w:firstLine="709"/>
        <w:jc w:val="both"/>
        <w:rPr>
          <w:rFonts w:ascii="Arial" w:hAnsi="Arial" w:cs="Arial"/>
        </w:rPr>
      </w:pPr>
    </w:p>
    <w:p w:rsidR="00EB2BDA" w:rsidRDefault="00EB2BDA">
      <w:pPr>
        <w:ind w:firstLine="709"/>
        <w:jc w:val="both"/>
        <w:rPr>
          <w:rFonts w:ascii="Arial" w:hAnsi="Arial" w:cs="Arial"/>
        </w:rPr>
      </w:pPr>
    </w:p>
    <w:p w:rsidR="0061656C" w:rsidRDefault="0061656C">
      <w:pPr>
        <w:ind w:firstLine="709"/>
        <w:jc w:val="both"/>
        <w:rPr>
          <w:rFonts w:ascii="Arial" w:hAnsi="Arial" w:cs="Arial"/>
        </w:rPr>
      </w:pPr>
    </w:p>
    <w:p w:rsidR="0061656C" w:rsidRDefault="0061656C">
      <w:pPr>
        <w:ind w:firstLine="709"/>
        <w:jc w:val="both"/>
        <w:rPr>
          <w:rFonts w:ascii="Arial" w:hAnsi="Arial" w:cs="Arial"/>
        </w:rPr>
      </w:pPr>
    </w:p>
    <w:p w:rsidR="00EB2BDA" w:rsidRDefault="00EB2BDA">
      <w:pPr>
        <w:ind w:firstLine="709"/>
        <w:jc w:val="both"/>
        <w:rPr>
          <w:rFonts w:ascii="Arial" w:hAnsi="Arial" w:cs="Arial"/>
        </w:rPr>
      </w:pPr>
    </w:p>
    <w:p w:rsidR="00EB2BDA" w:rsidRDefault="00EB2BDA">
      <w:pPr>
        <w:pStyle w:val="af1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B2BDA" w:rsidRDefault="006165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Бондаревского</w:t>
      </w:r>
    </w:p>
    <w:p w:rsidR="00EB2BDA" w:rsidRDefault="006165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В.С. Лесников</w:t>
      </w:r>
    </w:p>
    <w:p w:rsidR="0061656C" w:rsidRDefault="0061656C">
      <w:pPr>
        <w:pStyle w:val="af1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1656C" w:rsidRPr="0061656C" w:rsidRDefault="0061656C" w:rsidP="0061656C">
      <w:pPr>
        <w:ind w:left="5529"/>
        <w:jc w:val="center"/>
        <w:rPr>
          <w:rFonts w:ascii="Calibri" w:hAnsi="Calibri"/>
          <w:sz w:val="22"/>
          <w:szCs w:val="22"/>
          <w:lang w:eastAsia="zh-CN"/>
        </w:rPr>
      </w:pPr>
      <w:r w:rsidRPr="0061656C">
        <w:rPr>
          <w:rFonts w:ascii="Arial" w:hAnsi="Arial" w:cs="Arial"/>
          <w:lang w:eastAsia="zh-CN"/>
        </w:rPr>
        <w:lastRenderedPageBreak/>
        <w:t>Приложение</w:t>
      </w:r>
    </w:p>
    <w:p w:rsidR="0061656C" w:rsidRPr="0061656C" w:rsidRDefault="0061656C" w:rsidP="0061656C">
      <w:pPr>
        <w:ind w:left="5529"/>
        <w:jc w:val="both"/>
        <w:rPr>
          <w:b/>
          <w:sz w:val="28"/>
          <w:szCs w:val="20"/>
          <w:lang w:eastAsia="zh-CN"/>
        </w:rPr>
      </w:pPr>
      <w:r w:rsidRPr="0061656C">
        <w:rPr>
          <w:rFonts w:ascii="Arial" w:hAnsi="Arial" w:cs="Arial"/>
          <w:lang w:eastAsia="zh-CN"/>
        </w:rPr>
        <w:t>к постановлению администрации Бондаревского сельского поселения Кантемировского муниципального района Воронежской области</w:t>
      </w:r>
    </w:p>
    <w:p w:rsidR="0061656C" w:rsidRPr="0061656C" w:rsidRDefault="0061656C" w:rsidP="0061656C">
      <w:pPr>
        <w:ind w:left="5529"/>
        <w:jc w:val="center"/>
        <w:rPr>
          <w:rFonts w:ascii="Arial" w:hAnsi="Arial" w:cs="Arial"/>
          <w:lang w:eastAsia="zh-CN"/>
        </w:rPr>
      </w:pPr>
      <w:r w:rsidRPr="0061656C">
        <w:rPr>
          <w:rFonts w:ascii="Arial" w:hAnsi="Arial" w:cs="Arial"/>
          <w:lang w:eastAsia="ar-SA"/>
        </w:rPr>
        <w:t>от 11 ноября 2021 года №</w:t>
      </w:r>
      <w:r w:rsidR="00FD13E3">
        <w:rPr>
          <w:rFonts w:ascii="Arial" w:hAnsi="Arial" w:cs="Arial"/>
          <w:lang w:eastAsia="ar-SA"/>
        </w:rPr>
        <w:t xml:space="preserve"> </w:t>
      </w:r>
      <w:r w:rsidRPr="0061656C">
        <w:rPr>
          <w:rFonts w:ascii="Arial" w:hAnsi="Arial" w:cs="Arial"/>
          <w:lang w:eastAsia="ar-SA"/>
        </w:rPr>
        <w:t>3</w:t>
      </w:r>
      <w:r w:rsidR="00FD13E3">
        <w:rPr>
          <w:rFonts w:ascii="Arial" w:hAnsi="Arial" w:cs="Arial"/>
          <w:lang w:eastAsia="ar-SA"/>
        </w:rPr>
        <w:t>3</w:t>
      </w:r>
    </w:p>
    <w:p w:rsidR="00EB2BDA" w:rsidRDefault="00EB2BDA">
      <w:pPr>
        <w:pStyle w:val="af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B2BDA" w:rsidRDefault="0061656C">
      <w:pPr>
        <w:pStyle w:val="af1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 социально-экономического развития</w:t>
      </w:r>
    </w:p>
    <w:p w:rsidR="00EB2BDA" w:rsidRDefault="0061656C">
      <w:pPr>
        <w:pStyle w:val="af1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Бондаревского сельского поселения</w:t>
      </w:r>
    </w:p>
    <w:p w:rsidR="00EB2BDA" w:rsidRDefault="0061656C">
      <w:pPr>
        <w:pStyle w:val="af1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EB2BDA" w:rsidRDefault="0061656C">
      <w:pPr>
        <w:pStyle w:val="af1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EB2BDA" w:rsidRDefault="0061656C">
      <w:pPr>
        <w:pStyle w:val="af1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2022 год и на плановый период 2023 и 2024 годов.</w:t>
      </w:r>
    </w:p>
    <w:p w:rsidR="00EB2BDA" w:rsidRDefault="00EB2BDA">
      <w:pPr>
        <w:pStyle w:val="af1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B2BDA" w:rsidRDefault="0061656C">
      <w:pPr>
        <w:pStyle w:val="af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 социально-экономического развития Бондаревского сельского поселения Кантемировского муниципального района Воронежской области на 2022 год и на плановый период 2023 и 2024 годов разработан в соответствии с: </w:t>
      </w:r>
    </w:p>
    <w:p w:rsidR="00EB2BDA" w:rsidRDefault="0061656C">
      <w:pPr>
        <w:pStyle w:val="af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Бюджетным кодексом Российской Федерации;</w:t>
      </w:r>
    </w:p>
    <w:p w:rsidR="00EB2BDA" w:rsidRDefault="0061656C">
      <w:pPr>
        <w:pStyle w:val="af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Указами Президента Российской Федерации от 7 мая 2012 года о модернизации социальной сферы и жилищно-коммунального хозяйства, о развитии инфраструктуры и региональном развитии;</w:t>
      </w:r>
    </w:p>
    <w:p w:rsidR="00EB2BDA" w:rsidRDefault="0061656C">
      <w:pPr>
        <w:pStyle w:val="af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Бюджетным посланием Президента Российской Федерации о бюджетной политике в 2022 – 2024 годах;</w:t>
      </w:r>
    </w:p>
    <w:p w:rsidR="00EB2BDA" w:rsidRDefault="0061656C">
      <w:pPr>
        <w:pStyle w:val="af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Сценарными условиями функционирования экономики Российской Федерации, основными параметрами прогноза социально-экономического развития Российской Федерации на 2022 год и на плановый период 2023 и 2024 годов;</w:t>
      </w:r>
    </w:p>
    <w:p w:rsidR="00EB2BDA" w:rsidRDefault="0061656C">
      <w:pPr>
        <w:pStyle w:val="af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Основными направлениями бюджетной и налоговой политики в Бондаревском сельском поселении Кантемировского муниципального района Воронежской области на 2022 год и на плановый период 2023 и 2024 годов;</w:t>
      </w:r>
    </w:p>
    <w:p w:rsidR="00EB2BDA" w:rsidRDefault="0061656C">
      <w:pPr>
        <w:pStyle w:val="af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Муниципальной программой Бондаревского сельского поселения Кантемировского муниципального района Воронежской области на 2014 – 2024 годы;</w:t>
      </w:r>
    </w:p>
    <w:p w:rsidR="00EB2BDA" w:rsidRDefault="0061656C">
      <w:pPr>
        <w:pStyle w:val="af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Нормативами и прогнозными расчетами администрации Бондаревского сельского поселения Кантемировского муниципального района Воронежской области.</w:t>
      </w:r>
    </w:p>
    <w:p w:rsidR="00EB2BDA" w:rsidRDefault="0061656C">
      <w:pPr>
        <w:pStyle w:val="af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Одной из главных целей прогноза социально-экономического развития поселения является обеспечение доступности, прозрачности и открытости показателей исполнения бюджета, а также прогнозов и тенденций развития территории для дальнейшего ознакомления жителей поселения. Показатели прогноза сформированы на базе статистических данных за 2020-2021 годы, с учетом тенденций, складывающихся в экономике и социальной сфере Бондаревского сельского поселения в 2020 году, основываясь на стратегическом видении решения неотложных проблем экономического и социального развития поселения в 2021 году и в период 2023-2024 годов, а также с учетом сценарных условий функционирования экономики Российской Федерации в целом, а также функционирования экономики Воронежской области и Кантемировского района.</w:t>
      </w:r>
    </w:p>
    <w:p w:rsidR="00EB2BDA" w:rsidRDefault="00EB2BDA">
      <w:pPr>
        <w:pStyle w:val="af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B2BDA" w:rsidRDefault="00EB2BDA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EB2BDA">
        <w:tc>
          <w:tcPr>
            <w:tcW w:w="10205" w:type="dxa"/>
          </w:tcPr>
          <w:tbl>
            <w:tblPr>
              <w:tblW w:w="9514" w:type="dxa"/>
              <w:tblInd w:w="324" w:type="dxa"/>
              <w:tblLook w:val="0000" w:firstRow="0" w:lastRow="0" w:firstColumn="0" w:lastColumn="0" w:noHBand="0" w:noVBand="0"/>
            </w:tblPr>
            <w:tblGrid>
              <w:gridCol w:w="789"/>
              <w:gridCol w:w="219"/>
              <w:gridCol w:w="1663"/>
              <w:gridCol w:w="894"/>
              <w:gridCol w:w="214"/>
              <w:gridCol w:w="71"/>
              <w:gridCol w:w="199"/>
              <w:gridCol w:w="524"/>
              <w:gridCol w:w="240"/>
              <w:gridCol w:w="79"/>
              <w:gridCol w:w="142"/>
              <w:gridCol w:w="394"/>
              <w:gridCol w:w="394"/>
              <w:gridCol w:w="217"/>
              <w:gridCol w:w="117"/>
              <w:gridCol w:w="26"/>
              <w:gridCol w:w="142"/>
              <w:gridCol w:w="89"/>
              <w:gridCol w:w="845"/>
              <w:gridCol w:w="58"/>
              <w:gridCol w:w="219"/>
              <w:gridCol w:w="81"/>
              <w:gridCol w:w="1373"/>
              <w:gridCol w:w="820"/>
            </w:tblGrid>
            <w:tr w:rsidR="00EB2BDA">
              <w:trPr>
                <w:trHeight w:val="735"/>
              </w:trPr>
              <w:tc>
                <w:tcPr>
                  <w:tcW w:w="9513" w:type="dxa"/>
                  <w:gridSpan w:val="2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2BDA" w:rsidRDefault="0061656C">
                  <w:pPr>
                    <w:pageBreakBefore/>
                    <w:ind w:firstLine="70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>ПРОГНОЗ СОЦИАЛЬНО-ЭКОНОМИЧЕСКОГО РАЗВИТИЯ</w:t>
                  </w:r>
                </w:p>
                <w:p w:rsidR="00EB2BDA" w:rsidRDefault="0061656C">
                  <w:pPr>
                    <w:ind w:firstLine="709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БОНДАРЕВСКОГО СЕЛЬСКОГО ПОСЕЛЕНИЯ</w:t>
                  </w:r>
                </w:p>
                <w:p w:rsidR="00EB2BDA" w:rsidRDefault="0061656C">
                  <w:pPr>
                    <w:ind w:firstLine="709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КАНТЕМИРОВСКОГО МУНИЦИПАЛЬНОГО РАЙОНА</w:t>
                  </w:r>
                </w:p>
                <w:p w:rsidR="00EB2BDA" w:rsidRDefault="0061656C">
                  <w:pPr>
                    <w:ind w:firstLine="70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>ВОРОНЕЖСКОЙ ОБЛАСТИ</w:t>
                  </w:r>
                </w:p>
              </w:tc>
            </w:tr>
            <w:tr w:rsidR="00EB2BDA">
              <w:trPr>
                <w:trHeight w:val="375"/>
              </w:trPr>
              <w:tc>
                <w:tcPr>
                  <w:tcW w:w="9513" w:type="dxa"/>
                  <w:gridSpan w:val="2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EB2BDA" w:rsidRDefault="0061656C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  <w:color w:val="003063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" behindDoc="0" locked="0" layoutInCell="1" allowOverlap="1">
                        <wp:simplePos x="0" y="0"/>
                        <wp:positionH relativeFrom="column">
                          <wp:posOffset>3267075</wp:posOffset>
                        </wp:positionH>
                        <wp:positionV relativeFrom="paragraph">
                          <wp:posOffset>635</wp:posOffset>
                        </wp:positionV>
                        <wp:extent cx="1800225" cy="14605"/>
                        <wp:effectExtent l="0" t="0" r="0" b="0"/>
                        <wp:wrapNone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14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0" distR="0" simplePos="0" relativeHeight="3" behindDoc="0" locked="0" layoutInCell="1" allowOverlap="1">
                        <wp:simplePos x="0" y="0"/>
                        <wp:positionH relativeFrom="column">
                          <wp:posOffset>3267075</wp:posOffset>
                        </wp:positionH>
                        <wp:positionV relativeFrom="paragraph">
                          <wp:posOffset>635</wp:posOffset>
                        </wp:positionV>
                        <wp:extent cx="1800225" cy="1460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14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b/>
                      <w:bCs/>
                      <w:color w:val="003063"/>
                    </w:rPr>
                    <w:t>1. Общие показатели</w:t>
                  </w:r>
                </w:p>
                <w:p w:rsidR="00EB2BDA" w:rsidRDefault="00EB2BDA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  <w:color w:val="003063"/>
                    </w:rPr>
                  </w:pPr>
                </w:p>
              </w:tc>
            </w:tr>
            <w:tr w:rsidR="00EB2BDA">
              <w:trPr>
                <w:trHeight w:val="615"/>
              </w:trPr>
              <w:tc>
                <w:tcPr>
                  <w:tcW w:w="459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</w:tcPr>
                <w:p w:rsidR="00EB2BDA" w:rsidRDefault="0061656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№п/п</w:t>
                  </w:r>
                </w:p>
              </w:tc>
              <w:tc>
                <w:tcPr>
                  <w:tcW w:w="2151" w:type="dxa"/>
                  <w:gridSpan w:val="2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71" w:type="dxa"/>
                  <w:gridSpan w:val="6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2020</w:t>
                  </w: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436" w:type="dxa"/>
                  <w:gridSpan w:val="6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 w:rsidP="00F531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2022-2024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(тенденции развития)</w:t>
                  </w:r>
                </w:p>
              </w:tc>
            </w:tr>
            <w:tr w:rsidR="00EB2BDA">
              <w:trPr>
                <w:trHeight w:val="300"/>
              </w:trPr>
              <w:tc>
                <w:tcPr>
                  <w:tcW w:w="459" w:type="dxa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51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Число сельских населенных пунктов,</w:t>
                  </w:r>
                </w:p>
                <w:p w:rsidR="00EB2BDA" w:rsidRDefault="00EB2BDA">
                  <w:pPr>
                    <w:jc w:val="center"/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</w:pPr>
                </w:p>
                <w:p w:rsidR="00EB2BDA" w:rsidRDefault="0061656C" w:rsidP="001E14D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в том числе с населением более 300 человек</w:t>
                  </w:r>
                </w:p>
              </w:tc>
              <w:tc>
                <w:tcPr>
                  <w:tcW w:w="1706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</w:t>
                  </w:r>
                  <w:proofErr w:type="spellEnd"/>
                </w:p>
                <w:p w:rsidR="00EB2BDA" w:rsidRDefault="00EB2BDA">
                  <w:pPr>
                    <w:jc w:val="center"/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</w:pPr>
                </w:p>
                <w:p w:rsidR="00EB2BDA" w:rsidRDefault="00EB2BDA">
                  <w:pPr>
                    <w:jc w:val="center"/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</w:pPr>
                </w:p>
                <w:p w:rsidR="00EB2BDA" w:rsidRDefault="00EB2BDA">
                  <w:pPr>
                    <w:jc w:val="center"/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</w:pP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871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36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90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</w:tr>
            <w:tr w:rsidR="00EB2BDA">
              <w:trPr>
                <w:trHeight w:val="300"/>
              </w:trPr>
              <w:tc>
                <w:tcPr>
                  <w:tcW w:w="459" w:type="dxa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1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Территория поселения</w:t>
                  </w:r>
                </w:p>
              </w:tc>
              <w:tc>
                <w:tcPr>
                  <w:tcW w:w="1706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га</w:t>
                  </w:r>
                </w:p>
              </w:tc>
              <w:tc>
                <w:tcPr>
                  <w:tcW w:w="1871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12844</w:t>
                  </w:r>
                </w:p>
              </w:tc>
              <w:tc>
                <w:tcPr>
                  <w:tcW w:w="1436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12844</w:t>
                  </w:r>
                </w:p>
              </w:tc>
              <w:tc>
                <w:tcPr>
                  <w:tcW w:w="1890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12844</w:t>
                  </w:r>
                </w:p>
              </w:tc>
            </w:tr>
            <w:tr w:rsidR="00EB2BDA">
              <w:trPr>
                <w:trHeight w:val="689"/>
              </w:trPr>
              <w:tc>
                <w:tcPr>
                  <w:tcW w:w="9513" w:type="dxa"/>
                  <w:gridSpan w:val="2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063"/>
                    </w:rPr>
                  </w:pP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063"/>
                    </w:rPr>
                    <w:t>2. Демографические показатели</w:t>
                  </w:r>
                </w:p>
              </w:tc>
            </w:tr>
            <w:tr w:rsidR="00EB2BDA">
              <w:trPr>
                <w:trHeight w:val="612"/>
              </w:trPr>
              <w:tc>
                <w:tcPr>
                  <w:tcW w:w="678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171" w:type="dxa"/>
                  <w:gridSpan w:val="2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421" w:type="dxa"/>
                  <w:gridSpan w:val="7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08" w:type="dxa"/>
                  <w:gridSpan w:val="7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2020</w:t>
                  </w: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187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548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2022-2024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(прогноз)</w:t>
                  </w:r>
                </w:p>
              </w:tc>
            </w:tr>
            <w:tr w:rsidR="00EB2BDA">
              <w:trPr>
                <w:trHeight w:val="387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71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Численность населения, всего</w:t>
                  </w:r>
                </w:p>
              </w:tc>
              <w:tc>
                <w:tcPr>
                  <w:tcW w:w="1421" w:type="dxa"/>
                  <w:gridSpan w:val="7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508" w:type="dxa"/>
                  <w:gridSpan w:val="7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FD13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1204</w:t>
                  </w:r>
                </w:p>
              </w:tc>
              <w:tc>
                <w:tcPr>
                  <w:tcW w:w="1187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D6677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1075</w:t>
                  </w:r>
                </w:p>
              </w:tc>
              <w:tc>
                <w:tcPr>
                  <w:tcW w:w="1548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Pr="00826349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6349">
                    <w:rPr>
                      <w:rFonts w:ascii="Arial" w:hAnsi="Arial" w:cs="Arial"/>
                      <w:sz w:val="22"/>
                      <w:szCs w:val="22"/>
                    </w:rPr>
                    <w:t>1049</w:t>
                  </w:r>
                </w:p>
              </w:tc>
            </w:tr>
            <w:tr w:rsidR="00EB2BDA">
              <w:trPr>
                <w:trHeight w:val="33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71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Родилось</w:t>
                  </w:r>
                </w:p>
              </w:tc>
              <w:tc>
                <w:tcPr>
                  <w:tcW w:w="1421" w:type="dxa"/>
                  <w:gridSpan w:val="7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508" w:type="dxa"/>
                  <w:gridSpan w:val="7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FD13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87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6349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48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Pr="00826349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6349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EB2BDA">
              <w:trPr>
                <w:trHeight w:val="30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71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Умерло</w:t>
                  </w:r>
                </w:p>
              </w:tc>
              <w:tc>
                <w:tcPr>
                  <w:tcW w:w="1421" w:type="dxa"/>
                  <w:gridSpan w:val="7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508" w:type="dxa"/>
                  <w:gridSpan w:val="7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FD13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187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82634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48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Pr="00826349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6349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EB2BDA">
              <w:trPr>
                <w:trHeight w:val="30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4" w:space="0" w:color="000000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000000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Численность экономически активного населения</w:t>
                  </w:r>
                </w:p>
              </w:tc>
              <w:tc>
                <w:tcPr>
                  <w:tcW w:w="1421" w:type="dxa"/>
                  <w:gridSpan w:val="7"/>
                  <w:tcBorders>
                    <w:bottom w:val="single" w:sz="4" w:space="0" w:color="000000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508" w:type="dxa"/>
                  <w:gridSpan w:val="7"/>
                  <w:tcBorders>
                    <w:bottom w:val="single" w:sz="4" w:space="0" w:color="000000"/>
                    <w:right w:val="single" w:sz="8" w:space="0" w:color="003063"/>
                  </w:tcBorders>
                </w:tcPr>
                <w:p w:rsidR="00EB2BDA" w:rsidRDefault="00FD13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824</w:t>
                  </w:r>
                </w:p>
              </w:tc>
              <w:tc>
                <w:tcPr>
                  <w:tcW w:w="1187" w:type="dxa"/>
                  <w:gridSpan w:val="3"/>
                  <w:tcBorders>
                    <w:bottom w:val="single" w:sz="4" w:space="0" w:color="000000"/>
                    <w:right w:val="single" w:sz="8" w:space="0" w:color="003063"/>
                  </w:tcBorders>
                </w:tcPr>
                <w:p w:rsidR="00EB2BDA" w:rsidRDefault="00123D2E" w:rsidP="00123D2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758</w:t>
                  </w:r>
                </w:p>
              </w:tc>
              <w:tc>
                <w:tcPr>
                  <w:tcW w:w="1548" w:type="dxa"/>
                  <w:gridSpan w:val="3"/>
                  <w:tcBorders>
                    <w:bottom w:val="single" w:sz="4" w:space="0" w:color="000000"/>
                    <w:right w:val="single" w:sz="8" w:space="0" w:color="003063"/>
                  </w:tcBorders>
                </w:tcPr>
                <w:p w:rsidR="00EB2BDA" w:rsidRPr="00826349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6349">
                    <w:rPr>
                      <w:rFonts w:ascii="Arial" w:hAnsi="Arial" w:cs="Arial"/>
                      <w:sz w:val="22"/>
                      <w:szCs w:val="22"/>
                    </w:rPr>
                    <w:t>760</w:t>
                  </w:r>
                </w:p>
              </w:tc>
            </w:tr>
            <w:tr w:rsidR="00EB2BDA">
              <w:trPr>
                <w:trHeight w:val="300"/>
              </w:trPr>
              <w:tc>
                <w:tcPr>
                  <w:tcW w:w="678" w:type="dxa"/>
                  <w:gridSpan w:val="2"/>
                  <w:tcBorders>
                    <w:top w:val="single" w:sz="4" w:space="0" w:color="000000"/>
                    <w:left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5</w:t>
                  </w:r>
                </w:p>
                <w:p w:rsidR="00EB2BDA" w:rsidRDefault="00EB2BDA">
                  <w:pPr>
                    <w:jc w:val="center"/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</w:pPr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000000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Численность безработных,</w:t>
                  </w:r>
                </w:p>
                <w:p w:rsidR="00EB2BDA" w:rsidRDefault="00EB2BDA">
                  <w:pPr>
                    <w:jc w:val="center"/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</w:pP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 xml:space="preserve">в </w:t>
                  </w:r>
                  <w:proofErr w:type="spellStart"/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. зарегистрированных</w:t>
                  </w:r>
                </w:p>
              </w:tc>
              <w:tc>
                <w:tcPr>
                  <w:tcW w:w="1421" w:type="dxa"/>
                  <w:gridSpan w:val="7"/>
                  <w:tcBorders>
                    <w:top w:val="single" w:sz="4" w:space="0" w:color="000000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508" w:type="dxa"/>
                  <w:gridSpan w:val="7"/>
                  <w:tcBorders>
                    <w:top w:val="single" w:sz="4" w:space="0" w:color="000000"/>
                    <w:right w:val="single" w:sz="8" w:space="0" w:color="003063"/>
                  </w:tcBorders>
                </w:tcPr>
                <w:p w:rsidR="00EB2BDA" w:rsidRDefault="0039406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18</w:t>
                  </w:r>
                </w:p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94065" w:rsidRDefault="0039406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94065" w:rsidRDefault="0039406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B2BDA" w:rsidRDefault="0039406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87" w:type="dxa"/>
                  <w:gridSpan w:val="3"/>
                  <w:tcBorders>
                    <w:top w:val="single" w:sz="4" w:space="0" w:color="000000"/>
                    <w:right w:val="single" w:sz="8" w:space="0" w:color="003063"/>
                  </w:tcBorders>
                </w:tcPr>
                <w:p w:rsidR="00EB2BDA" w:rsidRDefault="00123D2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25</w:t>
                  </w:r>
                </w:p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94065" w:rsidRDefault="0039406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94065" w:rsidRDefault="0039406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B2BDA" w:rsidRDefault="00D6677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48" w:type="dxa"/>
                  <w:gridSpan w:val="3"/>
                  <w:tcBorders>
                    <w:top w:val="single" w:sz="4" w:space="0" w:color="000000"/>
                    <w:right w:val="single" w:sz="8" w:space="0" w:color="003063"/>
                  </w:tcBorders>
                </w:tcPr>
                <w:p w:rsidR="00EB2BDA" w:rsidRPr="00826349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6349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EB2BDA" w:rsidRPr="00826349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94065" w:rsidRPr="00826349" w:rsidRDefault="0039406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94065" w:rsidRPr="00826349" w:rsidRDefault="0039406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B2BDA" w:rsidRPr="00826349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6349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EB2BDA">
              <w:trPr>
                <w:trHeight w:val="413"/>
              </w:trPr>
              <w:tc>
                <w:tcPr>
                  <w:tcW w:w="9457" w:type="dxa"/>
                  <w:gridSpan w:val="2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EB2BDA" w:rsidRDefault="00EB2BDA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 w:rsidRPr="00826349">
                    <w:rPr>
                      <w:rFonts w:ascii="Arial" w:hAnsi="Arial" w:cs="Arial"/>
                    </w:rPr>
                    <w:t>Демографическая ситуация в Бондаревском сельском поселении в 202</w:t>
                  </w:r>
                  <w:r w:rsidR="00826349" w:rsidRPr="00826349">
                    <w:rPr>
                      <w:rFonts w:ascii="Arial" w:hAnsi="Arial" w:cs="Arial"/>
                    </w:rPr>
                    <w:t>1</w:t>
                  </w:r>
                  <w:r w:rsidRPr="00826349">
                    <w:rPr>
                      <w:rFonts w:ascii="Arial" w:hAnsi="Arial" w:cs="Arial"/>
                    </w:rPr>
                    <w:t xml:space="preserve"> году по сравнению с прошлым годом изменилась: число родившихся в 202</w:t>
                  </w:r>
                  <w:r w:rsidR="00826349" w:rsidRPr="00826349">
                    <w:rPr>
                      <w:rFonts w:ascii="Arial" w:hAnsi="Arial" w:cs="Arial"/>
                    </w:rPr>
                    <w:t>1</w:t>
                  </w:r>
                  <w:r w:rsidRPr="00826349">
                    <w:rPr>
                      <w:rFonts w:ascii="Arial" w:hAnsi="Arial" w:cs="Arial"/>
                    </w:rPr>
                    <w:t xml:space="preserve"> году меньше, чем в 20</w:t>
                  </w:r>
                  <w:r w:rsidR="00826349" w:rsidRPr="00826349">
                    <w:rPr>
                      <w:rFonts w:ascii="Arial" w:hAnsi="Arial" w:cs="Arial"/>
                    </w:rPr>
                    <w:t>20</w:t>
                  </w:r>
                  <w:r w:rsidRPr="00826349">
                    <w:rPr>
                      <w:rFonts w:ascii="Arial" w:hAnsi="Arial" w:cs="Arial"/>
                    </w:rPr>
                    <w:t xml:space="preserve"> году. Средняя продолжительность жизни в поселении за 202</w:t>
                  </w:r>
                  <w:r w:rsidR="00826349" w:rsidRPr="00826349">
                    <w:rPr>
                      <w:rFonts w:ascii="Arial" w:hAnsi="Arial" w:cs="Arial"/>
                    </w:rPr>
                    <w:t>1</w:t>
                  </w:r>
                  <w:r w:rsidRPr="00826349">
                    <w:rPr>
                      <w:rFonts w:ascii="Arial" w:hAnsi="Arial" w:cs="Arial"/>
                    </w:rPr>
                    <w:t xml:space="preserve"> год составляет </w:t>
                  </w:r>
                  <w:r w:rsidRPr="00D6677B">
                    <w:rPr>
                      <w:rFonts w:ascii="Arial" w:hAnsi="Arial" w:cs="Arial"/>
                    </w:rPr>
                    <w:t xml:space="preserve">62 </w:t>
                  </w:r>
                  <w:r w:rsidR="00123D2E">
                    <w:rPr>
                      <w:rFonts w:ascii="Arial" w:hAnsi="Arial" w:cs="Arial"/>
                    </w:rPr>
                    <w:t>года</w:t>
                  </w:r>
                  <w:r w:rsidRPr="00D6677B">
                    <w:rPr>
                      <w:rFonts w:ascii="Arial" w:hAnsi="Arial" w:cs="Arial"/>
                    </w:rPr>
                    <w:t xml:space="preserve"> у мужчин и 70 лет у женщин, </w:t>
                  </w:r>
                  <w:r w:rsidRPr="00826349">
                    <w:rPr>
                      <w:rFonts w:ascii="Arial" w:hAnsi="Arial" w:cs="Arial"/>
                    </w:rPr>
                    <w:t>это практически средний показатель продолжительности жизни в стране. Короткая продолжительность жизни, невысокая рождаемость, объясняется следующими факторами: многократным повышением стоимости питания, лечения, одежды и т.д. С развалом экономики в период перестройки, произошел развал социальной инфраструктуры на селе, обанкротились ранее крупные сельскохозяйственные предприятия, появилась безработица, резко снизились доходы населения. Среди безработного населения распространено злоупотребление алкоголем, что в свою очередь напрямую связано со снижением рождаемости. Слои населения в возрасте от 18 до 35 лет уезжают из села в поисках работы, население стареет.</w:t>
                  </w:r>
                </w:p>
                <w:p w:rsidR="00EB2BDA" w:rsidRDefault="00EB2BDA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  <w:p w:rsidR="00EB2BDA" w:rsidRDefault="00EB2BDA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  <w:p w:rsidR="000535A5" w:rsidRDefault="000535A5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  <w:p w:rsidR="000535A5" w:rsidRDefault="000535A5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063"/>
                    </w:rPr>
                    <w:lastRenderedPageBreak/>
                    <w:t>3. Показатели сельского хозяйства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 </w:t>
                  </w:r>
                </w:p>
              </w:tc>
            </w:tr>
            <w:tr w:rsidR="00EB2BDA">
              <w:trPr>
                <w:trHeight w:val="612"/>
              </w:trPr>
              <w:tc>
                <w:tcPr>
                  <w:tcW w:w="678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171" w:type="dxa"/>
                  <w:gridSpan w:val="2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79" w:type="dxa"/>
                  <w:gridSpan w:val="6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19" w:type="dxa"/>
                  <w:gridSpan w:val="6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5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1492" w:type="dxa"/>
                  <w:gridSpan w:val="2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2022-2024</w:t>
                  </w: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315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7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EAEA"/>
                  <w:vAlign w:val="bottom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Количество сельскохозяйственных предприятий, всего</w:t>
                  </w:r>
                </w:p>
              </w:tc>
              <w:tc>
                <w:tcPr>
                  <w:tcW w:w="1279" w:type="dxa"/>
                  <w:gridSpan w:val="6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419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Pr="00394065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4065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Pr="00394065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4065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92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Pr="00394065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4065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495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7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EAEA"/>
                  <w:vAlign w:val="bottom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Численность работающих на сельскохозяйственных предприятиях, всего</w:t>
                  </w:r>
                </w:p>
              </w:tc>
              <w:tc>
                <w:tcPr>
                  <w:tcW w:w="1279" w:type="dxa"/>
                  <w:gridSpan w:val="6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9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39406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418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82634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1492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 w:rsidP="000B1CA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6349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0B1CA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Pr="00826349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375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7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EAEA"/>
                  <w:vAlign w:val="bottom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Количество крестьянских (фермерских) хозяйств</w:t>
                  </w:r>
                </w:p>
              </w:tc>
              <w:tc>
                <w:tcPr>
                  <w:tcW w:w="1279" w:type="dxa"/>
                  <w:gridSpan w:val="6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419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39406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8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Pr="00826349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6349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92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Pr="00826349" w:rsidRDefault="0061656C" w:rsidP="000B1CA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6349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0B1CA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495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7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EAEA"/>
                  <w:vAlign w:val="bottom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Численность работающих в крестьянских (фермерских) хозяйствах</w:t>
                  </w:r>
                </w:p>
              </w:tc>
              <w:tc>
                <w:tcPr>
                  <w:tcW w:w="1279" w:type="dxa"/>
                  <w:gridSpan w:val="6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9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28590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418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28590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92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590A">
                    <w:rPr>
                      <w:rFonts w:ascii="Arial" w:hAnsi="Arial" w:cs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495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7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EAEA"/>
                  <w:vAlign w:val="bottom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Численность личных подсобных хозяйств</w:t>
                  </w:r>
                </w:p>
              </w:tc>
              <w:tc>
                <w:tcPr>
                  <w:tcW w:w="1279" w:type="dxa"/>
                  <w:gridSpan w:val="6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419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39406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1418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D632C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408</w:t>
                  </w:r>
                </w:p>
              </w:tc>
              <w:tc>
                <w:tcPr>
                  <w:tcW w:w="1492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tabs>
                      <w:tab w:val="right" w:pos="88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32CA">
                    <w:rPr>
                      <w:rFonts w:ascii="Arial" w:hAnsi="Arial" w:cs="Arial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27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171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В них поголовье скота по видам:</w:t>
                  </w:r>
                </w:p>
              </w:tc>
              <w:tc>
                <w:tcPr>
                  <w:tcW w:w="1279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gridSpan w:val="6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5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92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27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71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- КРС</w:t>
                  </w: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 xml:space="preserve">в </w:t>
                  </w:r>
                  <w:proofErr w:type="spellStart"/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. коровы</w:t>
                  </w:r>
                </w:p>
              </w:tc>
              <w:tc>
                <w:tcPr>
                  <w:tcW w:w="1279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гол.</w:t>
                  </w: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1419" w:type="dxa"/>
                  <w:gridSpan w:val="6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EB2BDA" w:rsidRDefault="0039406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143</w:t>
                  </w: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5550">
                    <w:rPr>
                      <w:rFonts w:ascii="Arial" w:hAnsi="Arial" w:cs="Arial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1418" w:type="dxa"/>
                  <w:gridSpan w:val="5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EB2BDA" w:rsidRDefault="00D632C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124</w:t>
                  </w:r>
                </w:p>
                <w:p w:rsidR="00EB2BDA" w:rsidRDefault="000B1CA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492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D632C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115</w:t>
                  </w:r>
                </w:p>
                <w:p w:rsidR="00EB2BDA" w:rsidRDefault="00D632CA" w:rsidP="000B1CA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="000B1CA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EB2BDA" w:rsidRDefault="00EB2BDA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B2BDA">
              <w:trPr>
                <w:trHeight w:val="27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71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- Свиньи</w:t>
                  </w:r>
                </w:p>
              </w:tc>
              <w:tc>
                <w:tcPr>
                  <w:tcW w:w="1279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1419" w:type="dxa"/>
                  <w:gridSpan w:val="6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5550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gridSpan w:val="5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EB2BDA" w:rsidRPr="00D632C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32C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92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Pr="00D632C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32C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27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71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- Овцы и козы</w:t>
                  </w:r>
                </w:p>
              </w:tc>
              <w:tc>
                <w:tcPr>
                  <w:tcW w:w="1279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1419" w:type="dxa"/>
                  <w:gridSpan w:val="6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EB2BDA" w:rsidRDefault="003E555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418" w:type="dxa"/>
                  <w:gridSpan w:val="5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EB2BDA" w:rsidRDefault="00D632C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1492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Pr="00D632C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32CA">
                    <w:rPr>
                      <w:rFonts w:ascii="Arial" w:hAnsi="Arial" w:cs="Arial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27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171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- Птица</w:t>
                  </w:r>
                </w:p>
              </w:tc>
              <w:tc>
                <w:tcPr>
                  <w:tcW w:w="1279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1419" w:type="dxa"/>
                  <w:gridSpan w:val="6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EB2BDA" w:rsidRDefault="003E555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2915</w:t>
                  </w:r>
                </w:p>
              </w:tc>
              <w:tc>
                <w:tcPr>
                  <w:tcW w:w="1418" w:type="dxa"/>
                  <w:gridSpan w:val="5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EB2BDA" w:rsidRDefault="00D632C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5326</w:t>
                  </w:r>
                </w:p>
              </w:tc>
              <w:tc>
                <w:tcPr>
                  <w:tcW w:w="1492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Pr="00D632C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32CA">
                    <w:rPr>
                      <w:rFonts w:ascii="Arial" w:hAnsi="Arial" w:cs="Arial"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27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171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Проведение осенней сельскохозяйственной ярмарки</w:t>
                  </w:r>
                </w:p>
              </w:tc>
              <w:tc>
                <w:tcPr>
                  <w:tcW w:w="1279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gridSpan w:val="6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gridSpan w:val="5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92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690"/>
              </w:trPr>
              <w:tc>
                <w:tcPr>
                  <w:tcW w:w="9457" w:type="dxa"/>
                  <w:gridSpan w:val="2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EB2BDA" w:rsidRDefault="00EB2BDA">
                  <w:pPr>
                    <w:shd w:val="clear" w:color="auto" w:fill="FFFFFF"/>
                    <w:ind w:firstLine="709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  <w:p w:rsidR="00EB2BDA" w:rsidRDefault="0061656C">
                  <w:pPr>
                    <w:shd w:val="clear" w:color="auto" w:fill="FFFFFF"/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Сельское хозяйство</w:t>
                  </w:r>
                </w:p>
                <w:p w:rsidR="00EB2BDA" w:rsidRDefault="0061656C">
                  <w:pPr>
                    <w:shd w:val="clear" w:color="auto" w:fill="FFFFFF"/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Сельское хозяйство поселения представлено 2-мя сельскохозяйственными предприятиями: ООО ССП </w:t>
                  </w:r>
                  <w:r w:rsidR="003E5550">
                    <w:rPr>
                      <w:rFonts w:ascii="Arial" w:hAnsi="Arial" w:cs="Arial"/>
                    </w:rPr>
                    <w:t>«</w:t>
                  </w:r>
                  <w:r>
                    <w:rPr>
                      <w:rFonts w:ascii="Arial" w:hAnsi="Arial" w:cs="Arial"/>
                    </w:rPr>
                    <w:t>Нива», ООО СХП «</w:t>
                  </w:r>
                  <w:proofErr w:type="spellStart"/>
                  <w:r>
                    <w:rPr>
                      <w:rFonts w:ascii="Arial" w:hAnsi="Arial" w:cs="Arial"/>
                    </w:rPr>
                    <w:t>Волоконовское</w:t>
                  </w:r>
                  <w:proofErr w:type="spellEnd"/>
                  <w:r>
                    <w:rPr>
                      <w:rFonts w:ascii="Arial" w:hAnsi="Arial" w:cs="Arial"/>
                    </w:rPr>
                    <w:t>», 14 крестьянскими (фермерскими) хозяйствами и личными хозяйствами населения.</w:t>
                  </w:r>
                </w:p>
                <w:p w:rsidR="00EB2BDA" w:rsidRDefault="0061656C">
                  <w:pPr>
                    <w:shd w:val="clear" w:color="auto" w:fill="FFFFFF"/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Прогноз развития сельского хозяйства на 2022 год и на период 2023 - 2024 годы </w:t>
                  </w:r>
                  <w:r>
                    <w:rPr>
                      <w:rFonts w:ascii="Arial" w:hAnsi="Arial" w:cs="Arial"/>
                      <w:spacing w:val="-1"/>
                    </w:rPr>
                    <w:t xml:space="preserve">разработан с учетом имеющегося в сельском поселении производственного потенциала, </w:t>
                  </w:r>
                  <w:r>
                    <w:rPr>
                      <w:rFonts w:ascii="Arial" w:hAnsi="Arial" w:cs="Arial"/>
                    </w:rPr>
                    <w:t>сложившихся тенденций развития сельскохозяйственных организаций, крестьянских (фермерских) хозяйств и личных подсобных хозяйств населения.</w:t>
                  </w:r>
                </w:p>
                <w:p w:rsidR="00EB2BDA" w:rsidRDefault="0061656C">
                  <w:pPr>
                    <w:shd w:val="clear" w:color="auto" w:fill="FFFFFF"/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Производство продукции растениеводства в поселении направлено, в основном, </w:t>
                  </w:r>
                  <w:r>
                    <w:rPr>
                      <w:rFonts w:ascii="Arial" w:hAnsi="Arial" w:cs="Arial"/>
                      <w:spacing w:val="-1"/>
                    </w:rPr>
                    <w:t>на использование площадей под зерновые и технические культуры, но в последнее время наметилась тенденция на увеличение площадей под многолетними травами и кукурузой для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</w:rPr>
                    <w:t>обеспечени</w:t>
                  </w:r>
                  <w:r w:rsidR="003E5550">
                    <w:rPr>
                      <w:rFonts w:ascii="Arial" w:hAnsi="Arial" w:cs="Arial"/>
                      <w:spacing w:val="-1"/>
                    </w:rPr>
                    <w:t>я</w:t>
                  </w:r>
                  <w:r>
                    <w:rPr>
                      <w:rFonts w:ascii="Arial" w:hAnsi="Arial" w:cs="Arial"/>
                      <w:spacing w:val="-1"/>
                    </w:rPr>
                    <w:t xml:space="preserve"> отрасли животноводства устойчивой кормовой базой.</w:t>
                  </w:r>
                </w:p>
                <w:p w:rsidR="00EB2BDA" w:rsidRDefault="0061656C">
                  <w:pPr>
                    <w:shd w:val="clear" w:color="auto" w:fill="FFFFFF"/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Личные подсобные хозяйства в основном занимаются посевами таких сельскохозяйственных культур: картофель, свекла, тыква, бахчевые культуры, кукуруза, горох, фасоль, огурцы, капуста, перец и помидоры (в открытом и закрытом грунте).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Особое место принадлежит развитию ЛПХ на селе. В последние годы наблюдается тенденция снижения поголовья животных в частном секторе, </w:t>
                  </w:r>
                  <w:r>
                    <w:rPr>
                      <w:rFonts w:ascii="Arial" w:hAnsi="Arial" w:cs="Arial"/>
                    </w:rPr>
                    <w:lastRenderedPageBreak/>
                    <w:t xml:space="preserve">хотя эти показатели могли бы быть значительно выше, так как на территории поселения проживает достаточно экономически активного населения, не занятого в данный момент на производстве и имеющего возможность заниматься личным подсобным хозяйством. Причины, сдерживающие развитие личных подсобных хозяйств, следующие: 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затруднения в реализации произведенных продуктов;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</w:rPr>
                    <w:t>диспаритет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цен на приобретение молодняка, кормов и реализацию; 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трудности, возникающие при заготовке кормов для животных;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неблагоприятная санитарно-эпидемиологическая обстановка – АЧС, ящур и другие опасные заболевания животных на соседних территориях;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старение населения из-за ухудшающейся демографической ситуации.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В связи с этим органы местного самоуправления должны ставить перед собой первостепенную задачу занятости и </w:t>
                  </w:r>
                  <w:proofErr w:type="spellStart"/>
                  <w:r>
                    <w:rPr>
                      <w:rFonts w:ascii="Arial" w:hAnsi="Arial" w:cs="Arial"/>
                    </w:rPr>
                    <w:t>самозанятости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населения.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Способствуя и регулируя процесс развития ЛПХ в поселении можно решать эту проблему.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Развитие животноводства и огородничества, как одно из направлений развития ЛПХ.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Производство продукции животноводства в личных подсобных хозяйствах является приоритетным направлением в решении главного вопроса - </w:t>
                  </w:r>
                  <w:proofErr w:type="spellStart"/>
                  <w:r>
                    <w:rPr>
                      <w:rFonts w:ascii="Arial" w:hAnsi="Arial" w:cs="Arial"/>
                    </w:rPr>
                    <w:t>самозанятость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сельского населения.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Эту проблему, возможно, решить следующим путем: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более интенсивно привлекать льготные кредитные ресурсы для развития ЛПХ в поселении;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увеличения продажи населению молодняка крупного рогатого скота сельскохозяйственными предприятиями, КФХ; 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увеличения продажи населению птицы различных видов и пород через птицеводческие предприятия;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организация механизированной заготовки и доставки в сельские подворья кормов.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Для повышения племенной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обеспечить искусственное осеменение животных, активно вовлекать в данный процесс передовые предприятия;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обеспечить высокий уровень ветеринарного обслуживания в личных подсобных хозяйствах в соответствии с действующим законодательством;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необходимо всячески поддерживать инициативу граждан, которые сегодня оказывают услуги по заготовке кормов, вспашке огородов, сбору молока;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создавать условия для создания и развития </w:t>
                  </w:r>
                  <w:proofErr w:type="spellStart"/>
                  <w:r>
                    <w:rPr>
                      <w:rFonts w:ascii="Arial" w:hAnsi="Arial" w:cs="Arial"/>
                    </w:rPr>
                    <w:t>потребительско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- сбытовых кооперативов на территории сел поселения.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областном бюджете заложено достаточно средств на мероприятия по поддержке КФХ, в том числе льготное кредитование, закупка молодняка, кормов, ГСМ и т.д. Руководителям КФХ стоит обратить внимание на участие в государственных программах по развитию сельского хозяйства Воронежской области.</w:t>
                  </w:r>
                </w:p>
                <w:p w:rsidR="00EB2BDA" w:rsidRDefault="0061656C">
                  <w:pPr>
                    <w:pStyle w:val="af1"/>
                    <w:spacing w:after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1CAE">
                    <w:rPr>
                      <w:rFonts w:ascii="Arial" w:hAnsi="Arial" w:cs="Arial"/>
                      <w:sz w:val="24"/>
                      <w:szCs w:val="24"/>
                    </w:rPr>
                    <w:t>Согласно статистическим данным</w:t>
                  </w:r>
                  <w:r w:rsidRPr="000B1CAE">
                    <w:rPr>
                      <w:rFonts w:ascii="Arial" w:hAnsi="Arial" w:cs="Arial"/>
                    </w:rPr>
                    <w:t xml:space="preserve"> </w:t>
                  </w:r>
                  <w:r w:rsidR="000B1CAE" w:rsidRPr="000B1CAE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="000B1CAE" w:rsidRPr="000B1CAE">
                    <w:rPr>
                      <w:rFonts w:ascii="Arial" w:hAnsi="Arial" w:cs="Arial"/>
                    </w:rPr>
                    <w:t xml:space="preserve"> </w:t>
                  </w:r>
                  <w:r w:rsidRPr="000B1CAE">
                    <w:rPr>
                      <w:rFonts w:ascii="Arial" w:hAnsi="Arial" w:cs="Arial"/>
                      <w:sz w:val="24"/>
                      <w:szCs w:val="24"/>
                    </w:rPr>
                    <w:t>целом по сельскому поселению зарплата в 20</w:t>
                  </w:r>
                  <w:r w:rsidR="000B1CAE" w:rsidRPr="000B1CAE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Pr="000B1CAE">
                    <w:rPr>
                      <w:rFonts w:ascii="Arial" w:hAnsi="Arial" w:cs="Arial"/>
                      <w:sz w:val="24"/>
                      <w:szCs w:val="24"/>
                    </w:rPr>
                    <w:t xml:space="preserve"> году составляла </w:t>
                  </w:r>
                  <w:r w:rsidR="000B1CAE" w:rsidRPr="000B1CAE">
                    <w:rPr>
                      <w:rFonts w:ascii="Arial" w:hAnsi="Arial" w:cs="Arial"/>
                      <w:sz w:val="24"/>
                      <w:szCs w:val="24"/>
                    </w:rPr>
                    <w:t>25491</w:t>
                  </w:r>
                  <w:r w:rsidRPr="000B1CAE">
                    <w:rPr>
                      <w:rFonts w:ascii="Arial" w:hAnsi="Arial" w:cs="Arial"/>
                      <w:sz w:val="24"/>
                      <w:szCs w:val="24"/>
                    </w:rPr>
                    <w:t xml:space="preserve"> руб., в 202</w:t>
                  </w:r>
                  <w:r w:rsidR="000B1CAE" w:rsidRPr="000B1CA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0B1CAE">
                    <w:rPr>
                      <w:rFonts w:ascii="Arial" w:hAnsi="Arial" w:cs="Arial"/>
                      <w:sz w:val="24"/>
                      <w:szCs w:val="24"/>
                    </w:rPr>
                    <w:t xml:space="preserve"> году составила </w:t>
                  </w:r>
                  <w:r w:rsidR="00123D2E" w:rsidRPr="00123D2E">
                    <w:rPr>
                      <w:rFonts w:ascii="Arial" w:hAnsi="Arial" w:cs="Arial"/>
                      <w:sz w:val="24"/>
                      <w:szCs w:val="24"/>
                    </w:rPr>
                    <w:t>39920</w:t>
                  </w:r>
                  <w:r w:rsidRPr="00123D2E">
                    <w:rPr>
                      <w:rFonts w:ascii="Arial" w:hAnsi="Arial" w:cs="Arial"/>
                      <w:sz w:val="24"/>
                      <w:szCs w:val="24"/>
                    </w:rPr>
                    <w:t xml:space="preserve"> руб.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Средний уровень заработной платы населения Бондаревского сельского поселения составляет </w:t>
                  </w:r>
                  <w:r w:rsidR="00123D2E">
                    <w:rPr>
                      <w:rFonts w:ascii="Arial" w:hAnsi="Arial" w:cs="Arial"/>
                    </w:rPr>
                    <w:t>39920</w:t>
                  </w:r>
                  <w:r>
                    <w:rPr>
                      <w:rFonts w:ascii="Arial" w:hAnsi="Arial" w:cs="Arial"/>
                    </w:rPr>
                    <w:t xml:space="preserve"> рублей. В прогнозный период 202</w:t>
                  </w:r>
                  <w:r w:rsidR="000B1CAE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-2023 годы реальная заработная плата вырастет.</w:t>
                  </w:r>
                </w:p>
                <w:p w:rsidR="00EB2BDA" w:rsidRDefault="00EB2BDA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  <w:p w:rsidR="000535A5" w:rsidRDefault="000535A5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  <w:p w:rsidR="000535A5" w:rsidRDefault="000535A5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  <w:p w:rsidR="00EB2BDA" w:rsidRDefault="0061656C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</w:rPr>
                    <w:lastRenderedPageBreak/>
                    <w:t xml:space="preserve">4. </w:t>
                  </w:r>
                  <w:r>
                    <w:rPr>
                      <w:rFonts w:ascii="Arial" w:hAnsi="Arial" w:cs="Arial"/>
                      <w:b/>
                      <w:bCs/>
                      <w:color w:val="244061" w:themeColor="accent1" w:themeShade="80"/>
                    </w:rPr>
                    <w:t>Показатели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торговли и общественного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</w:rPr>
                    <w:t xml:space="preserve"> питания.</w:t>
                  </w:r>
                </w:p>
                <w:p w:rsidR="00EB2BDA" w:rsidRDefault="00EB2BDA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</w:rPr>
                  </w:pPr>
                </w:p>
                <w:p w:rsidR="00EB2BDA" w:rsidRDefault="0061656C">
                  <w:pPr>
                    <w:pStyle w:val="af1"/>
                    <w:spacing w:after="0"/>
                    <w:ind w:firstLine="709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Рынок товаров и услуг</w:t>
                  </w:r>
                </w:p>
                <w:p w:rsidR="00EB2BDA" w:rsidRDefault="0061656C">
                  <w:pPr>
                    <w:pStyle w:val="af1"/>
                    <w:spacing w:after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Потребительский рынок обслуживает в основном сферу личного потребления населения. На прогнозируемый период развитие потребительского рынка будет направлено на дальнейшее развитие сети современных торговых точек, предприятий общественного питания и бытового обслуживания, а также насыщение торговой сети доступными по стоимости продуктами питания и социально-значимыми непродовольственными товарами.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</w:rPr>
                    <w:t> 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 </w:t>
                  </w:r>
                </w:p>
              </w:tc>
            </w:tr>
            <w:tr w:rsidR="00EB2BDA">
              <w:trPr>
                <w:trHeight w:val="612"/>
              </w:trPr>
              <w:tc>
                <w:tcPr>
                  <w:tcW w:w="678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lastRenderedPageBreak/>
                    <w:t>№ п/п</w:t>
                  </w:r>
                </w:p>
              </w:tc>
              <w:tc>
                <w:tcPr>
                  <w:tcW w:w="3398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73" w:type="dxa"/>
                  <w:gridSpan w:val="4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72" w:type="dxa"/>
                  <w:gridSpan w:val="6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2020</w:t>
                  </w: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547" w:type="dxa"/>
                  <w:gridSpan w:val="7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факт)</w:t>
                  </w:r>
                </w:p>
              </w:tc>
              <w:tc>
                <w:tcPr>
                  <w:tcW w:w="1389" w:type="dxa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2022-2024 (прогноз)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33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98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Число предприятий розничной торговли</w:t>
                  </w:r>
                </w:p>
              </w:tc>
              <w:tc>
                <w:tcPr>
                  <w:tcW w:w="973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472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47" w:type="dxa"/>
                  <w:gridSpan w:val="7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89" w:type="dxa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584A5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405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98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Число предприятий общественного питания</w:t>
                  </w:r>
                </w:p>
              </w:tc>
              <w:tc>
                <w:tcPr>
                  <w:tcW w:w="973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472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47" w:type="dxa"/>
                  <w:gridSpan w:val="7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89" w:type="dxa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413"/>
              </w:trPr>
              <w:tc>
                <w:tcPr>
                  <w:tcW w:w="9457" w:type="dxa"/>
                  <w:gridSpan w:val="2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Большинство малых предприятий осуществляет свою деятельность в оптовой и розничной торговле. Средняя заработная плата работников малых предприятий Бондаревского сельского поселения 2021 году составляла 15 500 руб. На территории Бондаревского сельского поселения находится 4 предприятия розничной торговли, в том числе две точки Кантемировского РАЙПО (Ф-л «Кантемировский»)</w:t>
                  </w:r>
                  <w:r w:rsidR="00584A59">
                    <w:rPr>
                      <w:rFonts w:ascii="Arial" w:hAnsi="Arial" w:cs="Arial"/>
                    </w:rPr>
                    <w:t>, 1 магазин</w:t>
                  </w:r>
                  <w:r>
                    <w:rPr>
                      <w:rFonts w:ascii="Arial" w:hAnsi="Arial" w:cs="Arial"/>
                    </w:rPr>
                    <w:t xml:space="preserve"> и </w:t>
                  </w:r>
                  <w:r w:rsidR="00584A59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 xml:space="preserve"> павильон индивидуальных предпринимателей.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Приоритетными направлениями развития торговли и малого предпринимательства в Бондаревском сельском поселении в прогнозируемом периоде будут являться: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1) создание и поддержка предприятий малого бизнеса;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2) развитие услуг связи, особенно Интернета;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3) развитие бытовых услуг населения (парикмахерская, ремонт обуви, пошив одежды);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4) улучшение кадрового потенциала.</w:t>
                  </w:r>
                </w:p>
                <w:p w:rsidR="00EB2BDA" w:rsidRDefault="00EB2BDA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  <w:p w:rsidR="00EB2BDA" w:rsidRDefault="0061656C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  <w:color w:val="00306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063"/>
                    </w:rPr>
                    <w:t>5. Финансовые показатели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Работа по увеличению доходов бюджета Бондаревского сельского поселения Кантемировского муниципального района Воронежской области осуществляется по следующим направлениям: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проведение администрацией ответственной бюджетной политики в 2022 – 2024 </w:t>
                  </w:r>
                  <w:proofErr w:type="spellStart"/>
                  <w:r>
                    <w:rPr>
                      <w:rFonts w:ascii="Arial" w:hAnsi="Arial" w:cs="Arial"/>
                    </w:rPr>
                    <w:t>г.г</w:t>
                  </w:r>
                  <w:proofErr w:type="spellEnd"/>
                  <w:r>
                    <w:rPr>
                      <w:rFonts w:ascii="Arial" w:hAnsi="Arial" w:cs="Arial"/>
                    </w:rPr>
                    <w:t>.;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разработка ряда мероприятий по наращиванию и мобилизации доходной базы бюджета поселения;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работа по оформлению невостребованных земельных долей;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оптимизация налоговых льгот по местным налогам, сокращение неэффективных налоговых льгот и освобождений;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привлечение инвесторов на территорию сельского поселения;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постановка на учет новых налогоплательщиков в налоговых органах;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снижение задолженности организаций по платежам в бюджеты всех уровней, недопущение образования просроченной кредиторской задолженности по принятым обязательствам.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Основной задачей бюджета на 202</w:t>
                  </w:r>
                  <w:r w:rsidR="001E14DD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 xml:space="preserve"> год и плановый период 2023 – 2024 </w:t>
                  </w:r>
                  <w:proofErr w:type="spellStart"/>
                  <w:r>
                    <w:rPr>
                      <w:rFonts w:ascii="Arial" w:hAnsi="Arial" w:cs="Arial"/>
                    </w:rPr>
                    <w:t>г.г</w:t>
                  </w:r>
                  <w:proofErr w:type="spellEnd"/>
                  <w:r>
                    <w:rPr>
                      <w:rFonts w:ascii="Arial" w:hAnsi="Arial" w:cs="Arial"/>
                    </w:rPr>
                    <w:t>. является: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оптимизация расходных обязательств, концентрация их на ключевых социально-экономических направлениях во исполнение поручений, данных Президентом Российской Федерации в Указах от 7 мая 2012 года;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- обеспечение соответствия объема расходных обязательств реальным доходным источникам и источникам покрытия дефицита бюджета поселения;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формирование бюджетов программно-целевым методом, завершив переход к формированию программных бюджетов в среднесрочной перспективе и достижение в 2021 году показателя «Доля расходов местного бюджета, формируемых в рамках программных мероприятий, в общем объеме расходов местного бюджета (без учета субвенций на исполнение делегируемых полномочий) в размере не менее 100 %»;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соблюдение нормативов расходов на содержание органов местного самоуправления;</w:t>
                  </w:r>
                </w:p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проведение оптимизации численности работников МКУК «Бондаревского ЦКД».</w:t>
                  </w:r>
                </w:p>
                <w:p w:rsidR="00EB2BDA" w:rsidRDefault="00EB2BDA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  <w:p w:rsidR="00EB2BDA" w:rsidRDefault="0061656C">
                  <w:pPr>
                    <w:ind w:firstLine="709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Основные показатели бюджета Бондаревского сельского поселения: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 </w:t>
                  </w:r>
                </w:p>
              </w:tc>
            </w:tr>
            <w:tr w:rsidR="00EB2BDA">
              <w:trPr>
                <w:trHeight w:val="828"/>
              </w:trPr>
              <w:tc>
                <w:tcPr>
                  <w:tcW w:w="678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171" w:type="dxa"/>
                  <w:gridSpan w:val="2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64" w:type="dxa"/>
                  <w:gridSpan w:val="4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708" w:type="dxa"/>
                  <w:gridSpan w:val="7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444" w:type="dxa"/>
                  <w:gridSpan w:val="6"/>
                  <w:tcBorders>
                    <w:top w:val="single" w:sz="8" w:space="0" w:color="003063"/>
                    <w:bottom w:val="single" w:sz="4" w:space="0" w:color="000000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1492" w:type="dxa"/>
                  <w:gridSpan w:val="2"/>
                  <w:tcBorders>
                    <w:top w:val="single" w:sz="8" w:space="0" w:color="003063"/>
                    <w:bottom w:val="single" w:sz="4" w:space="0" w:color="000000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2023-2024 (тенденции развития)</w:t>
                  </w:r>
                </w:p>
              </w:tc>
              <w:tc>
                <w:tcPr>
                  <w:tcW w:w="56" w:type="dxa"/>
                  <w:tcBorders>
                    <w:bottom w:val="single" w:sz="4" w:space="0" w:color="000000"/>
                  </w:tcBorders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195"/>
              </w:trPr>
              <w:tc>
                <w:tcPr>
                  <w:tcW w:w="678" w:type="dxa"/>
                  <w:gridSpan w:val="2"/>
                  <w:vMerge w:val="restart"/>
                  <w:tcBorders>
                    <w:left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71" w:type="dxa"/>
                  <w:gridSpan w:val="2"/>
                  <w:vMerge w:val="restart"/>
                  <w:tcBorders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Налоговые доходы</w:t>
                  </w:r>
                </w:p>
              </w:tc>
              <w:tc>
                <w:tcPr>
                  <w:tcW w:w="964" w:type="dxa"/>
                  <w:gridSpan w:val="4"/>
                  <w:vMerge w:val="restart"/>
                  <w:tcBorders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708" w:type="dxa"/>
                  <w:gridSpan w:val="7"/>
                  <w:vMerge w:val="restart"/>
                  <w:tcBorders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2384475,41</w:t>
                  </w:r>
                </w:p>
              </w:tc>
              <w:tc>
                <w:tcPr>
                  <w:tcW w:w="1444" w:type="dxa"/>
                  <w:gridSpan w:val="6"/>
                  <w:vMerge w:val="restart"/>
                  <w:tcBorders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2951000</w:t>
                  </w:r>
                </w:p>
              </w:tc>
              <w:tc>
                <w:tcPr>
                  <w:tcW w:w="1492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(2023г) 2977000</w:t>
                  </w:r>
                </w:p>
              </w:tc>
              <w:tc>
                <w:tcPr>
                  <w:tcW w:w="56" w:type="dxa"/>
                  <w:vMerge w:val="restart"/>
                  <w:tcBorders>
                    <w:top w:val="single" w:sz="4" w:space="0" w:color="000000"/>
                  </w:tcBorders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15"/>
              </w:trPr>
              <w:tc>
                <w:tcPr>
                  <w:tcW w:w="678" w:type="dxa"/>
                  <w:gridSpan w:val="2"/>
                  <w:vMerge/>
                  <w:tcBorders>
                    <w:left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71" w:type="dxa"/>
                  <w:gridSpan w:val="2"/>
                  <w:vMerge/>
                  <w:tcBorders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gridSpan w:val="4"/>
                  <w:vMerge/>
                  <w:tcBorders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8" w:type="dxa"/>
                  <w:gridSpan w:val="7"/>
                  <w:vMerge/>
                  <w:tcBorders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4" w:type="dxa"/>
                  <w:gridSpan w:val="6"/>
                  <w:vMerge/>
                  <w:tcBorders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92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(2024г) 3006000</w:t>
                  </w:r>
                </w:p>
              </w:tc>
              <w:tc>
                <w:tcPr>
                  <w:tcW w:w="56" w:type="dxa"/>
                  <w:vMerge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239"/>
              </w:trPr>
              <w:tc>
                <w:tcPr>
                  <w:tcW w:w="678" w:type="dxa"/>
                  <w:gridSpan w:val="2"/>
                  <w:vMerge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71" w:type="dxa"/>
                  <w:gridSpan w:val="2"/>
                  <w:vMerge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gridSpan w:val="4"/>
                  <w:vMerge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8" w:type="dxa"/>
                  <w:gridSpan w:val="7"/>
                  <w:vMerge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4" w:type="dxa"/>
                  <w:gridSpan w:val="6"/>
                  <w:vMerge/>
                  <w:tcBorders>
                    <w:bottom w:val="single" w:sz="4" w:space="0" w:color="000000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92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" w:type="dxa"/>
                  <w:vMerge/>
                  <w:tcBorders>
                    <w:bottom w:val="single" w:sz="4" w:space="0" w:color="000000"/>
                  </w:tcBorders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180"/>
              </w:trPr>
              <w:tc>
                <w:tcPr>
                  <w:tcW w:w="678" w:type="dxa"/>
                  <w:gridSpan w:val="2"/>
                  <w:vMerge w:val="restart"/>
                  <w:tcBorders>
                    <w:left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71" w:type="dxa"/>
                  <w:gridSpan w:val="2"/>
                  <w:vMerge w:val="restart"/>
                  <w:tcBorders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964" w:type="dxa"/>
                  <w:gridSpan w:val="4"/>
                  <w:vMerge w:val="restart"/>
                  <w:tcBorders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708" w:type="dxa"/>
                  <w:gridSpan w:val="7"/>
                  <w:vMerge w:val="restart"/>
                  <w:tcBorders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48100,18</w:t>
                  </w:r>
                </w:p>
              </w:tc>
              <w:tc>
                <w:tcPr>
                  <w:tcW w:w="1444" w:type="dxa"/>
                  <w:gridSpan w:val="6"/>
                  <w:vMerge w:val="restart"/>
                  <w:tcBorders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56000</w:t>
                  </w:r>
                </w:p>
              </w:tc>
              <w:tc>
                <w:tcPr>
                  <w:tcW w:w="1492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(2023г) 56000</w:t>
                  </w:r>
                </w:p>
              </w:tc>
              <w:tc>
                <w:tcPr>
                  <w:tcW w:w="56" w:type="dxa"/>
                  <w:vMerge w:val="restart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435"/>
              </w:trPr>
              <w:tc>
                <w:tcPr>
                  <w:tcW w:w="678" w:type="dxa"/>
                  <w:gridSpan w:val="2"/>
                  <w:vMerge/>
                  <w:tcBorders>
                    <w:left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71" w:type="dxa"/>
                  <w:gridSpan w:val="2"/>
                  <w:vMerge/>
                  <w:tcBorders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gridSpan w:val="4"/>
                  <w:vMerge/>
                  <w:tcBorders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8" w:type="dxa"/>
                  <w:gridSpan w:val="7"/>
                  <w:vMerge/>
                  <w:tcBorders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4" w:type="dxa"/>
                  <w:gridSpan w:val="6"/>
                  <w:vMerge/>
                  <w:tcBorders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92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(2024г) 56000</w:t>
                  </w:r>
                </w:p>
              </w:tc>
              <w:tc>
                <w:tcPr>
                  <w:tcW w:w="56" w:type="dxa"/>
                  <w:vMerge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09"/>
              </w:trPr>
              <w:tc>
                <w:tcPr>
                  <w:tcW w:w="678" w:type="dxa"/>
                  <w:gridSpan w:val="2"/>
                  <w:vMerge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71" w:type="dxa"/>
                  <w:gridSpan w:val="2"/>
                  <w:vMerge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gridSpan w:val="4"/>
                  <w:vMerge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8" w:type="dxa"/>
                  <w:gridSpan w:val="7"/>
                  <w:vMerge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4" w:type="dxa"/>
                  <w:gridSpan w:val="6"/>
                  <w:vMerge/>
                  <w:tcBorders>
                    <w:bottom w:val="single" w:sz="4" w:space="0" w:color="000000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92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" w:type="dxa"/>
                  <w:vMerge/>
                  <w:tcBorders>
                    <w:bottom w:val="single" w:sz="4" w:space="0" w:color="000000"/>
                  </w:tcBorders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210"/>
              </w:trPr>
              <w:tc>
                <w:tcPr>
                  <w:tcW w:w="678" w:type="dxa"/>
                  <w:gridSpan w:val="2"/>
                  <w:vMerge w:val="restart"/>
                  <w:tcBorders>
                    <w:left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71" w:type="dxa"/>
                  <w:gridSpan w:val="2"/>
                  <w:vMerge w:val="restart"/>
                  <w:tcBorders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964" w:type="dxa"/>
                  <w:gridSpan w:val="4"/>
                  <w:vMerge w:val="restart"/>
                  <w:tcBorders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8" w:type="dxa"/>
                  <w:gridSpan w:val="7"/>
                  <w:vMerge w:val="restart"/>
                  <w:tcBorders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8853664,70</w:t>
                  </w:r>
                </w:p>
              </w:tc>
              <w:tc>
                <w:tcPr>
                  <w:tcW w:w="1444" w:type="dxa"/>
                  <w:gridSpan w:val="6"/>
                  <w:vMerge w:val="restart"/>
                  <w:tcBorders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3751868,50</w:t>
                  </w:r>
                </w:p>
              </w:tc>
              <w:tc>
                <w:tcPr>
                  <w:tcW w:w="1492" w:type="dxa"/>
                  <w:gridSpan w:val="2"/>
                  <w:tcBorders>
                    <w:bottom w:val="single" w:sz="4" w:space="0" w:color="000000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(2023г)-559668,5</w:t>
                  </w:r>
                </w:p>
              </w:tc>
              <w:tc>
                <w:tcPr>
                  <w:tcW w:w="56" w:type="dxa"/>
                  <w:vMerge w:val="restart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00"/>
              </w:trPr>
              <w:tc>
                <w:tcPr>
                  <w:tcW w:w="678" w:type="dxa"/>
                  <w:gridSpan w:val="2"/>
                  <w:vMerge/>
                  <w:tcBorders>
                    <w:left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71" w:type="dxa"/>
                  <w:gridSpan w:val="2"/>
                  <w:vMerge/>
                  <w:tcBorders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gridSpan w:val="4"/>
                  <w:vMerge/>
                  <w:tcBorders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8" w:type="dxa"/>
                  <w:gridSpan w:val="7"/>
                  <w:vMerge/>
                  <w:tcBorders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4" w:type="dxa"/>
                  <w:gridSpan w:val="6"/>
                  <w:vMerge/>
                  <w:tcBorders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92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(2024г)-562968,5</w:t>
                  </w:r>
                </w:p>
              </w:tc>
              <w:tc>
                <w:tcPr>
                  <w:tcW w:w="56" w:type="dxa"/>
                  <w:vMerge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00"/>
              </w:trPr>
              <w:tc>
                <w:tcPr>
                  <w:tcW w:w="678" w:type="dxa"/>
                  <w:gridSpan w:val="2"/>
                  <w:vMerge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71" w:type="dxa"/>
                  <w:gridSpan w:val="2"/>
                  <w:vMerge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gridSpan w:val="4"/>
                  <w:vMerge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8" w:type="dxa"/>
                  <w:gridSpan w:val="7"/>
                  <w:vMerge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4" w:type="dxa"/>
                  <w:gridSpan w:val="6"/>
                  <w:vMerge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92" w:type="dxa"/>
                  <w:gridSpan w:val="2"/>
                  <w:tcBorders>
                    <w:top w:val="single" w:sz="4" w:space="0" w:color="000000"/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" w:type="dxa"/>
                  <w:vMerge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195"/>
              </w:trPr>
              <w:tc>
                <w:tcPr>
                  <w:tcW w:w="678" w:type="dxa"/>
                  <w:gridSpan w:val="2"/>
                  <w:vMerge w:val="restart"/>
                  <w:tcBorders>
                    <w:left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71" w:type="dxa"/>
                  <w:gridSpan w:val="2"/>
                  <w:vMerge w:val="restart"/>
                  <w:tcBorders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Расходы бюджета</w:t>
                  </w:r>
                </w:p>
              </w:tc>
              <w:tc>
                <w:tcPr>
                  <w:tcW w:w="964" w:type="dxa"/>
                  <w:gridSpan w:val="4"/>
                  <w:vMerge w:val="restart"/>
                  <w:tcBorders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708" w:type="dxa"/>
                  <w:gridSpan w:val="7"/>
                  <w:vMerge w:val="restart"/>
                  <w:tcBorders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11456810,39</w:t>
                  </w:r>
                </w:p>
              </w:tc>
              <w:tc>
                <w:tcPr>
                  <w:tcW w:w="1444" w:type="dxa"/>
                  <w:gridSpan w:val="6"/>
                  <w:vMerge w:val="restart"/>
                  <w:tcBorders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6758868,5</w:t>
                  </w:r>
                </w:p>
              </w:tc>
              <w:tc>
                <w:tcPr>
                  <w:tcW w:w="1492" w:type="dxa"/>
                  <w:gridSpan w:val="2"/>
                  <w:tcBorders>
                    <w:bottom w:val="single" w:sz="4" w:space="0" w:color="000000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(2023г) -3592668,5</w:t>
                  </w:r>
                </w:p>
              </w:tc>
              <w:tc>
                <w:tcPr>
                  <w:tcW w:w="56" w:type="dxa"/>
                  <w:vMerge w:val="restart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01"/>
              </w:trPr>
              <w:tc>
                <w:tcPr>
                  <w:tcW w:w="678" w:type="dxa"/>
                  <w:gridSpan w:val="2"/>
                  <w:vMerge/>
                  <w:tcBorders>
                    <w:left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71" w:type="dxa"/>
                  <w:gridSpan w:val="2"/>
                  <w:vMerge/>
                  <w:tcBorders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gridSpan w:val="4"/>
                  <w:vMerge/>
                  <w:tcBorders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8" w:type="dxa"/>
                  <w:gridSpan w:val="7"/>
                  <w:vMerge/>
                  <w:tcBorders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4" w:type="dxa"/>
                  <w:gridSpan w:val="6"/>
                  <w:vMerge/>
                  <w:tcBorders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92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(2024г) -3624968,5</w:t>
                  </w:r>
                </w:p>
              </w:tc>
              <w:tc>
                <w:tcPr>
                  <w:tcW w:w="56" w:type="dxa"/>
                  <w:vMerge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60"/>
              </w:trPr>
              <w:tc>
                <w:tcPr>
                  <w:tcW w:w="678" w:type="dxa"/>
                  <w:gridSpan w:val="2"/>
                  <w:vMerge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71" w:type="dxa"/>
                  <w:gridSpan w:val="2"/>
                  <w:vMerge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gridSpan w:val="4"/>
                  <w:vMerge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8" w:type="dxa"/>
                  <w:gridSpan w:val="7"/>
                  <w:vMerge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4" w:type="dxa"/>
                  <w:gridSpan w:val="6"/>
                  <w:vMerge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92" w:type="dxa"/>
                  <w:gridSpan w:val="2"/>
                  <w:tcBorders>
                    <w:top w:val="single" w:sz="4" w:space="0" w:color="000000"/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" w:type="dxa"/>
                  <w:vMerge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60"/>
              </w:trPr>
              <w:tc>
                <w:tcPr>
                  <w:tcW w:w="678" w:type="dxa"/>
                  <w:gridSpan w:val="2"/>
                  <w:vMerge w:val="restart"/>
                  <w:tcBorders>
                    <w:left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71" w:type="dxa"/>
                  <w:gridSpan w:val="2"/>
                  <w:vMerge w:val="restart"/>
                  <w:tcBorders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Дефицит (-)</w:t>
                  </w: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Профицит (+) бюджета</w:t>
                  </w:r>
                </w:p>
              </w:tc>
              <w:tc>
                <w:tcPr>
                  <w:tcW w:w="964" w:type="dxa"/>
                  <w:gridSpan w:val="4"/>
                  <w:vMerge w:val="restart"/>
                  <w:tcBorders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708" w:type="dxa"/>
                  <w:gridSpan w:val="7"/>
                  <w:vMerge w:val="restart"/>
                  <w:tcBorders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-170570,1</w:t>
                  </w:r>
                </w:p>
              </w:tc>
              <w:tc>
                <w:tcPr>
                  <w:tcW w:w="1444" w:type="dxa"/>
                  <w:gridSpan w:val="6"/>
                  <w:vMerge w:val="restart"/>
                  <w:tcBorders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92" w:type="dxa"/>
                  <w:gridSpan w:val="2"/>
                  <w:tcBorders>
                    <w:bottom w:val="single" w:sz="4" w:space="0" w:color="000000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(2023г) - 0</w:t>
                  </w:r>
                </w:p>
              </w:tc>
              <w:tc>
                <w:tcPr>
                  <w:tcW w:w="56" w:type="dxa"/>
                  <w:vMerge w:val="restart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30"/>
              </w:trPr>
              <w:tc>
                <w:tcPr>
                  <w:tcW w:w="678" w:type="dxa"/>
                  <w:gridSpan w:val="2"/>
                  <w:vMerge/>
                  <w:tcBorders>
                    <w:left w:val="single" w:sz="8" w:space="0" w:color="003063"/>
                    <w:bottom w:val="single" w:sz="4" w:space="0" w:color="000000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71" w:type="dxa"/>
                  <w:gridSpan w:val="2"/>
                  <w:vMerge/>
                  <w:tcBorders>
                    <w:bottom w:val="single" w:sz="4" w:space="0" w:color="000000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gridSpan w:val="4"/>
                  <w:vMerge/>
                  <w:tcBorders>
                    <w:bottom w:val="single" w:sz="4" w:space="0" w:color="000000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8" w:type="dxa"/>
                  <w:gridSpan w:val="7"/>
                  <w:vMerge/>
                  <w:tcBorders>
                    <w:bottom w:val="single" w:sz="4" w:space="0" w:color="000000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4" w:type="dxa"/>
                  <w:gridSpan w:val="6"/>
                  <w:vMerge/>
                  <w:tcBorders>
                    <w:bottom w:val="single" w:sz="4" w:space="0" w:color="000000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92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(2024г) - 0</w:t>
                  </w:r>
                </w:p>
              </w:tc>
              <w:tc>
                <w:tcPr>
                  <w:tcW w:w="56" w:type="dxa"/>
                  <w:vMerge/>
                  <w:tcBorders>
                    <w:bottom w:val="single" w:sz="4" w:space="0" w:color="000000"/>
                  </w:tcBorders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70"/>
              </w:trPr>
              <w:tc>
                <w:tcPr>
                  <w:tcW w:w="678" w:type="dxa"/>
                  <w:gridSpan w:val="2"/>
                  <w:vMerge/>
                  <w:tcBorders>
                    <w:top w:val="single" w:sz="4" w:space="0" w:color="000000"/>
                    <w:left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71" w:type="dxa"/>
                  <w:gridSpan w:val="2"/>
                  <w:vMerge/>
                  <w:tcBorders>
                    <w:top w:val="single" w:sz="4" w:space="0" w:color="000000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gridSpan w:val="4"/>
                  <w:vMerge/>
                  <w:tcBorders>
                    <w:top w:val="single" w:sz="4" w:space="0" w:color="000000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8" w:type="dxa"/>
                  <w:gridSpan w:val="7"/>
                  <w:vMerge/>
                  <w:tcBorders>
                    <w:top w:val="single" w:sz="4" w:space="0" w:color="000000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4" w:type="dxa"/>
                  <w:gridSpan w:val="6"/>
                  <w:vMerge/>
                  <w:tcBorders>
                    <w:top w:val="single" w:sz="4" w:space="0" w:color="000000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92" w:type="dxa"/>
                  <w:gridSpan w:val="2"/>
                  <w:tcBorders>
                    <w:top w:val="single" w:sz="4" w:space="0" w:color="000000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" w:type="dxa"/>
                  <w:vMerge/>
                  <w:tcBorders>
                    <w:top w:val="single" w:sz="4" w:space="0" w:color="000000"/>
                  </w:tcBorders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713"/>
              </w:trPr>
              <w:tc>
                <w:tcPr>
                  <w:tcW w:w="9457" w:type="dxa"/>
                  <w:gridSpan w:val="2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44061" w:themeColor="accent1" w:themeShade="80"/>
                    </w:rPr>
                    <w:t>6. Показатели предприятий бытового обслуживания населения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612"/>
              </w:trPr>
              <w:tc>
                <w:tcPr>
                  <w:tcW w:w="678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638" w:type="dxa"/>
                  <w:gridSpan w:val="5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380" w:type="dxa"/>
                  <w:gridSpan w:val="5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492" w:type="dxa"/>
                  <w:gridSpan w:val="2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2022-2024 (прогноз)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15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38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Предприятия бытового обслуживания населения, всего</w:t>
                  </w:r>
                </w:p>
              </w:tc>
              <w:tc>
                <w:tcPr>
                  <w:tcW w:w="1380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93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1E14D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1E14D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92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15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38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из них по видам услуг:</w:t>
                  </w:r>
                </w:p>
              </w:tc>
              <w:tc>
                <w:tcPr>
                  <w:tcW w:w="1380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92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15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38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 ремонт обуви</w:t>
                  </w:r>
                </w:p>
              </w:tc>
              <w:tc>
                <w:tcPr>
                  <w:tcW w:w="1380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93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92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15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38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 ремонт сложной бытовой техники и автомобилей</w:t>
                  </w:r>
                </w:p>
              </w:tc>
              <w:tc>
                <w:tcPr>
                  <w:tcW w:w="1380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93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92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15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38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 услуги парикмахерских</w:t>
                  </w:r>
                </w:p>
              </w:tc>
              <w:tc>
                <w:tcPr>
                  <w:tcW w:w="1380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93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92" w:type="dxa"/>
                  <w:gridSpan w:val="2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413"/>
              </w:trPr>
              <w:tc>
                <w:tcPr>
                  <w:tcW w:w="67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779" w:type="dxa"/>
                  <w:gridSpan w:val="21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7. Показатели жилищного фонда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612"/>
              </w:trPr>
              <w:tc>
                <w:tcPr>
                  <w:tcW w:w="678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398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194" w:type="dxa"/>
                  <w:gridSpan w:val="6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277" w:type="dxa"/>
                  <w:gridSpan w:val="6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776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2022-2024 (прогноз)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0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98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color w:val="244061" w:themeColor="accent1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244061" w:themeColor="accent1" w:themeShade="80"/>
                      <w:sz w:val="22"/>
                      <w:szCs w:val="22"/>
                    </w:rPr>
                    <w:t>Общая площадь жилищного фонда, всего</w:t>
                  </w:r>
                </w:p>
              </w:tc>
              <w:tc>
                <w:tcPr>
                  <w:tcW w:w="1194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кв.м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584A5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271</w:t>
                  </w:r>
                  <w:r w:rsidR="0061656C">
                    <w:rPr>
                      <w:rFonts w:ascii="Arial" w:hAnsi="Arial" w:cs="Arial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 w:rsidP="00584A5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27</w:t>
                  </w:r>
                  <w:r w:rsidR="00584A59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27500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0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98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color w:val="244061" w:themeColor="accent1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244061" w:themeColor="accent1" w:themeShade="80"/>
                      <w:sz w:val="22"/>
                      <w:szCs w:val="22"/>
                    </w:rPr>
                    <w:t>Число домов индивидуального типа</w:t>
                  </w:r>
                </w:p>
              </w:tc>
              <w:tc>
                <w:tcPr>
                  <w:tcW w:w="1194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584A5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 w:rsidP="00584A5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="00584A59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 w:rsidP="00584A5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="00584A59">
                    <w:rPr>
                      <w:rFonts w:ascii="Arial" w:hAnsi="Arial" w:cs="Arial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0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98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color w:val="244061" w:themeColor="accent1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244061" w:themeColor="accent1" w:themeShade="80"/>
                      <w:sz w:val="22"/>
                      <w:szCs w:val="22"/>
                    </w:rPr>
                    <w:t>Оборудование жилищного фонда:</w:t>
                  </w:r>
                </w:p>
              </w:tc>
              <w:tc>
                <w:tcPr>
                  <w:tcW w:w="1194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0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98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color w:val="244061" w:themeColor="accent1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244061" w:themeColor="accent1" w:themeShade="80"/>
                      <w:sz w:val="22"/>
                      <w:szCs w:val="22"/>
                    </w:rPr>
                    <w:t>Водопроводом</w:t>
                  </w:r>
                </w:p>
              </w:tc>
              <w:tc>
                <w:tcPr>
                  <w:tcW w:w="1194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A06B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A06B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A06B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0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398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color w:val="244061" w:themeColor="accent1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244061" w:themeColor="accent1" w:themeShade="80"/>
                      <w:sz w:val="22"/>
                      <w:szCs w:val="22"/>
                    </w:rPr>
                    <w:t>Канализацией</w:t>
                  </w:r>
                </w:p>
              </w:tc>
              <w:tc>
                <w:tcPr>
                  <w:tcW w:w="1194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A06B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A06B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A06B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0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398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color w:val="244061" w:themeColor="accent1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244061" w:themeColor="accent1" w:themeShade="80"/>
                      <w:sz w:val="22"/>
                      <w:szCs w:val="22"/>
                    </w:rPr>
                    <w:t>Центральным отоплением</w:t>
                  </w:r>
                </w:p>
              </w:tc>
              <w:tc>
                <w:tcPr>
                  <w:tcW w:w="1194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0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398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color w:val="244061" w:themeColor="accent1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244061" w:themeColor="accent1" w:themeShade="80"/>
                      <w:sz w:val="22"/>
                      <w:szCs w:val="22"/>
                    </w:rPr>
                    <w:t>Газом</w:t>
                  </w:r>
                </w:p>
              </w:tc>
              <w:tc>
                <w:tcPr>
                  <w:tcW w:w="1194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57725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57725C" w:rsidP="0057725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 w:rsidP="0057725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="0057725C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0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398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color w:val="244061" w:themeColor="accent1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244061" w:themeColor="accent1" w:themeShade="80"/>
                      <w:sz w:val="22"/>
                      <w:szCs w:val="22"/>
                    </w:rPr>
                    <w:t>Ваннами (душем)</w:t>
                  </w:r>
                </w:p>
              </w:tc>
              <w:tc>
                <w:tcPr>
                  <w:tcW w:w="1194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57725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57725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57725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6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398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Число приватизированных жилых помещений</w:t>
                  </w:r>
                </w:p>
              </w:tc>
              <w:tc>
                <w:tcPr>
                  <w:tcW w:w="1194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6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398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Общая площадь приватизированного жилья</w:t>
                  </w:r>
                </w:p>
              </w:tc>
              <w:tc>
                <w:tcPr>
                  <w:tcW w:w="1194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кв.м</w:t>
                  </w:r>
                  <w:proofErr w:type="spellEnd"/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6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398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Число семей улучшивших жилищные условия</w:t>
                  </w:r>
                </w:p>
              </w:tc>
              <w:tc>
                <w:tcPr>
                  <w:tcW w:w="1194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5C22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45"/>
              </w:trPr>
              <w:tc>
                <w:tcPr>
                  <w:tcW w:w="9457" w:type="dxa"/>
                  <w:gridSpan w:val="2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063"/>
                      <w:sz w:val="22"/>
                      <w:szCs w:val="22"/>
                    </w:rPr>
                  </w:pP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063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8. Показатели коммунального хозяйства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612"/>
              </w:trPr>
              <w:tc>
                <w:tcPr>
                  <w:tcW w:w="678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398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194" w:type="dxa"/>
                  <w:gridSpan w:val="6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277" w:type="dxa"/>
                  <w:gridSpan w:val="6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776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2022-2024 (прогноз)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87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98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Котельные (газовые)</w:t>
                  </w:r>
                </w:p>
              </w:tc>
              <w:tc>
                <w:tcPr>
                  <w:tcW w:w="1194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57725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57725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57725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0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98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Мощность водопроводных сооружений</w:t>
                  </w:r>
                </w:p>
              </w:tc>
              <w:tc>
                <w:tcPr>
                  <w:tcW w:w="1194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тыс.куб.м</w:t>
                  </w:r>
                  <w:proofErr w:type="spellEnd"/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 xml:space="preserve"> в сутки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 w:rsidP="008205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0,</w:t>
                  </w:r>
                  <w:r w:rsidR="00820545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 w:rsidP="008205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0,</w:t>
                  </w:r>
                  <w:r w:rsidR="00820545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 w:rsidP="008205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0,</w:t>
                  </w:r>
                  <w:r w:rsidR="00820545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0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98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Протяженность водопроводной сети</w:t>
                  </w:r>
                </w:p>
              </w:tc>
              <w:tc>
                <w:tcPr>
                  <w:tcW w:w="1194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9,4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9,4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9,4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0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98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 xml:space="preserve">Уличных </w:t>
                  </w:r>
                  <w:proofErr w:type="spellStart"/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водоразборов</w:t>
                  </w:r>
                  <w:proofErr w:type="spellEnd"/>
                </w:p>
              </w:tc>
              <w:tc>
                <w:tcPr>
                  <w:tcW w:w="1194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57725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57725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57725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0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398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Водонапорные башни</w:t>
                  </w:r>
                </w:p>
              </w:tc>
              <w:tc>
                <w:tcPr>
                  <w:tcW w:w="1194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8205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8205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8205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480"/>
              </w:trPr>
              <w:tc>
                <w:tcPr>
                  <w:tcW w:w="9457" w:type="dxa"/>
                  <w:gridSpan w:val="2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063"/>
                      <w:sz w:val="22"/>
                      <w:szCs w:val="22"/>
                    </w:rPr>
                  </w:pP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9. Показатели уличного освещения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612"/>
              </w:trPr>
              <w:tc>
                <w:tcPr>
                  <w:tcW w:w="678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398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194" w:type="dxa"/>
                  <w:gridSpan w:val="6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277" w:type="dxa"/>
                  <w:gridSpan w:val="6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776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2022-2024 (прогноз)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285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98" w:type="dxa"/>
                  <w:gridSpan w:val="3"/>
                  <w:tcBorders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Уличных светильников</w:t>
                  </w:r>
                </w:p>
              </w:tc>
              <w:tc>
                <w:tcPr>
                  <w:tcW w:w="1194" w:type="dxa"/>
                  <w:gridSpan w:val="6"/>
                  <w:tcBorders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185</w:t>
                  </w:r>
                </w:p>
              </w:tc>
              <w:tc>
                <w:tcPr>
                  <w:tcW w:w="1277" w:type="dxa"/>
                  <w:gridSpan w:val="6"/>
                  <w:tcBorders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185</w:t>
                  </w:r>
                </w:p>
              </w:tc>
              <w:tc>
                <w:tcPr>
                  <w:tcW w:w="1776" w:type="dxa"/>
                  <w:gridSpan w:val="3"/>
                  <w:tcBorders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45"/>
              </w:trPr>
              <w:tc>
                <w:tcPr>
                  <w:tcW w:w="9457" w:type="dxa"/>
                  <w:gridSpan w:val="2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063"/>
                      <w:sz w:val="22"/>
                      <w:szCs w:val="22"/>
                    </w:rPr>
                  </w:pP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10. Показатели благоустройства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612"/>
              </w:trPr>
              <w:tc>
                <w:tcPr>
                  <w:tcW w:w="678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458" w:type="dxa"/>
                  <w:gridSpan w:val="4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277" w:type="dxa"/>
                  <w:gridSpan w:val="6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776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2022-2024 (прогноз)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75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58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Контейнера для сбора ТБО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70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42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58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Урны для мусора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87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58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Номера строений в населенных пунктах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580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580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580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87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outset" w:sz="6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58" w:type="dxa"/>
                  <w:gridSpan w:val="4"/>
                  <w:tcBorders>
                    <w:bottom w:val="outset" w:sz="6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Общественные колодцы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outset" w:sz="6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outset" w:sz="6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outset" w:sz="6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outset" w:sz="6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" w:type="dxa"/>
                  <w:tcBorders>
                    <w:bottom w:val="outset" w:sz="6" w:space="0" w:color="000000"/>
                  </w:tcBorders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87"/>
              </w:trPr>
              <w:tc>
                <w:tcPr>
                  <w:tcW w:w="67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outset" w:sz="6" w:space="0" w:color="000000"/>
                    <w:right w:val="single" w:sz="2" w:space="0" w:color="000000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345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outset" w:sz="6" w:space="0" w:color="000000"/>
                    <w:right w:val="single" w:sz="2" w:space="0" w:color="000000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Количество полигонов для ТБО (свалок)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outset" w:sz="6" w:space="0" w:color="000000"/>
                    <w:right w:val="single" w:sz="2" w:space="0" w:color="000000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outset" w:sz="6" w:space="0" w:color="000000"/>
                    <w:right w:val="single" w:sz="2" w:space="0" w:color="000000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277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outset" w:sz="6" w:space="0" w:color="000000"/>
                    <w:right w:val="single" w:sz="2" w:space="0" w:color="000000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77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outset" w:sz="6" w:space="0" w:color="000000"/>
                    <w:right w:val="single" w:sz="2" w:space="0" w:color="000000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56" w:type="dxa"/>
                  <w:tcBorders>
                    <w:top w:val="single" w:sz="2" w:space="0" w:color="000000"/>
                    <w:left w:val="single" w:sz="2" w:space="0" w:color="000000"/>
                    <w:bottom w:val="outset" w:sz="6" w:space="0" w:color="000000"/>
                    <w:right w:val="single" w:sz="2" w:space="0" w:color="000000"/>
                  </w:tcBorders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87"/>
              </w:trPr>
              <w:tc>
                <w:tcPr>
                  <w:tcW w:w="67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45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Места захоронений (кладбища)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7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77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480"/>
              </w:trPr>
              <w:tc>
                <w:tcPr>
                  <w:tcW w:w="9457" w:type="dxa"/>
                  <w:gridSpan w:val="2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063"/>
                      <w:sz w:val="22"/>
                      <w:szCs w:val="22"/>
                    </w:rPr>
                  </w:pP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063"/>
                      <w:sz w:val="22"/>
                      <w:szCs w:val="22"/>
                    </w:rPr>
                    <w:t>11. Показатели банно-прачечного хозяйства</w:t>
                  </w:r>
                </w:p>
              </w:tc>
              <w:tc>
                <w:tcPr>
                  <w:tcW w:w="56" w:type="dxa"/>
                  <w:tcBorders>
                    <w:top w:val="outset" w:sz="6" w:space="0" w:color="000000"/>
                  </w:tcBorders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612"/>
              </w:trPr>
              <w:tc>
                <w:tcPr>
                  <w:tcW w:w="678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458" w:type="dxa"/>
                  <w:gridSpan w:val="4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277" w:type="dxa"/>
                  <w:gridSpan w:val="6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776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2022-2024 (прогноз)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15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58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Баня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45"/>
              </w:trPr>
              <w:tc>
                <w:tcPr>
                  <w:tcW w:w="9457" w:type="dxa"/>
                  <w:gridSpan w:val="2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063"/>
                      <w:sz w:val="22"/>
                      <w:szCs w:val="22"/>
                    </w:rPr>
                  </w:pP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063"/>
                      <w:sz w:val="22"/>
                      <w:szCs w:val="22"/>
                    </w:rPr>
                    <w:t>12. Показатели дорожного хозяйства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612"/>
              </w:trPr>
              <w:tc>
                <w:tcPr>
                  <w:tcW w:w="678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458" w:type="dxa"/>
                  <w:gridSpan w:val="4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277" w:type="dxa"/>
                  <w:gridSpan w:val="6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776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2022-2024 (прогноз)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3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58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Постановка на учет улично-дорожной сети поселения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5C22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Pr="005C2204" w:rsidRDefault="005C22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60"/>
              </w:trPr>
              <w:tc>
                <w:tcPr>
                  <w:tcW w:w="9457" w:type="dxa"/>
                  <w:gridSpan w:val="23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 w:themeFill="background1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063"/>
                      <w:sz w:val="22"/>
                      <w:szCs w:val="22"/>
                    </w:rPr>
                  </w:pP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063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063"/>
                      <w:sz w:val="22"/>
                      <w:szCs w:val="22"/>
                    </w:rPr>
                    <w:t>13. Показатели противопожарной безопасности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612"/>
              </w:trPr>
              <w:tc>
                <w:tcPr>
                  <w:tcW w:w="678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458" w:type="dxa"/>
                  <w:gridSpan w:val="4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277" w:type="dxa"/>
                  <w:gridSpan w:val="6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776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2022-2024 (прогноз)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6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58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Оформление водоемов в собственность поселения и их реконструкция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413"/>
              </w:trPr>
              <w:tc>
                <w:tcPr>
                  <w:tcW w:w="9457" w:type="dxa"/>
                  <w:gridSpan w:val="2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063"/>
                      <w:sz w:val="22"/>
                      <w:szCs w:val="22"/>
                    </w:rPr>
                  </w:pP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063"/>
                      <w:sz w:val="22"/>
                      <w:szCs w:val="22"/>
                    </w:rPr>
                    <w:t>14. Показатели связи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612"/>
              </w:trPr>
              <w:tc>
                <w:tcPr>
                  <w:tcW w:w="678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458" w:type="dxa"/>
                  <w:gridSpan w:val="4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277" w:type="dxa"/>
                  <w:gridSpan w:val="6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776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2022-2024 (прогноз)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57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58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Число телефонных аппаратов телефонной сети общего пользования или имеющих на нее выход, всего: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6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58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 xml:space="preserve">- в </w:t>
                  </w:r>
                  <w:proofErr w:type="spellStart"/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 xml:space="preserve"> домашних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60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58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Таксофонов поселковой телефонной сети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413"/>
              </w:trPr>
              <w:tc>
                <w:tcPr>
                  <w:tcW w:w="9457" w:type="dxa"/>
                  <w:gridSpan w:val="2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063"/>
                      <w:sz w:val="22"/>
                      <w:szCs w:val="22"/>
                    </w:rPr>
                  </w:pP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063"/>
                      <w:sz w:val="22"/>
                      <w:szCs w:val="22"/>
                    </w:rPr>
                    <w:t>15. Показатели образования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612"/>
              </w:trPr>
              <w:tc>
                <w:tcPr>
                  <w:tcW w:w="678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458" w:type="dxa"/>
                  <w:gridSpan w:val="4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277" w:type="dxa"/>
                  <w:gridSpan w:val="6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776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2022-2024 (прогноз)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87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58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Число дошкольных учреждений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75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58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Численность детей, посещающих дошкольные учреждения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 w:rsidP="008205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820545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8205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612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58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Численность педагогических работников дошкольных учреждений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15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58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Число дневных общеобразовательных школ всего: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8205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8205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612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3458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Численность учащихся в общеобразовательных учреждениях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8205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5C2204">
                    <w:rPr>
                      <w:rFonts w:ascii="Arial" w:hAnsi="Arial" w:cs="Arial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75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458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Численность преподавателей общеобразовательных школ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 w:rsidP="008205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820545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C2204">
                    <w:rPr>
                      <w:rFonts w:ascii="Arial" w:hAnsi="Arial" w:cs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75"/>
              </w:trPr>
              <w:tc>
                <w:tcPr>
                  <w:tcW w:w="678" w:type="dxa"/>
                  <w:gridSpan w:val="2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58" w:type="dxa"/>
                  <w:gridSpan w:val="4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Проведение мероприятий для молодежи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BDA">
              <w:trPr>
                <w:trHeight w:val="330"/>
              </w:trPr>
              <w:tc>
                <w:tcPr>
                  <w:tcW w:w="9457" w:type="dxa"/>
                  <w:gridSpan w:val="2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EB2BDA" w:rsidRDefault="0061656C">
                  <w:pPr>
                    <w:pStyle w:val="24"/>
                    <w:spacing w:after="0" w:line="240" w:lineRule="auto"/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Из приведенной таблицы 15 видно снижение роста учащихся в поселении. Данный показатель говорит об ухудшении демографической ситуации на территории поселения, связанной со снижением рождаемости.</w:t>
                  </w:r>
                </w:p>
                <w:p w:rsidR="00EB2BDA" w:rsidRDefault="0061656C">
                  <w:pPr>
                    <w:pStyle w:val="24"/>
                    <w:spacing w:after="0" w:line="240" w:lineRule="auto"/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В сельских школах трудится 27 педагогический работник, в том числе 23 человека с высшим образованием и 4 человека со средне-специальным образованием. </w:t>
                  </w:r>
                  <w:r w:rsidR="00BC7FBE">
                    <w:rPr>
                      <w:rFonts w:ascii="Arial" w:hAnsi="Arial" w:cs="Arial"/>
                    </w:rPr>
                    <w:t>0</w:t>
                  </w:r>
                </w:p>
                <w:p w:rsidR="00EB2BDA" w:rsidRDefault="0061656C">
                  <w:pPr>
                    <w:ind w:firstLine="70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16. Показатели здравоохранения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1092"/>
              </w:trPr>
              <w:tc>
                <w:tcPr>
                  <w:tcW w:w="459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№п/п</w:t>
                  </w:r>
                </w:p>
              </w:tc>
              <w:tc>
                <w:tcPr>
                  <w:tcW w:w="3677" w:type="dxa"/>
                  <w:gridSpan w:val="5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277" w:type="dxa"/>
                  <w:gridSpan w:val="6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776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2022-2024 (прогноз)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387"/>
              </w:trPr>
              <w:tc>
                <w:tcPr>
                  <w:tcW w:w="459" w:type="dxa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77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ФАП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435"/>
              </w:trPr>
              <w:tc>
                <w:tcPr>
                  <w:tcW w:w="459" w:type="dxa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77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Амбулаторно-поликлинические учреждения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330"/>
              </w:trPr>
              <w:tc>
                <w:tcPr>
                  <w:tcW w:w="459" w:type="dxa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77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Численность врачей всех специальностей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390"/>
              </w:trPr>
              <w:tc>
                <w:tcPr>
                  <w:tcW w:w="459" w:type="dxa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77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Численность среднего медицинского персонала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615"/>
              </w:trPr>
              <w:tc>
                <w:tcPr>
                  <w:tcW w:w="9457" w:type="dxa"/>
                  <w:gridSpan w:val="2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063"/>
                      <w:sz w:val="22"/>
                      <w:szCs w:val="22"/>
                    </w:rPr>
                  </w:pPr>
                </w:p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063"/>
                      <w:sz w:val="22"/>
                      <w:szCs w:val="22"/>
                    </w:rPr>
                    <w:t>17. Показатели правоохранительной деятельности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612"/>
              </w:trPr>
              <w:tc>
                <w:tcPr>
                  <w:tcW w:w="459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№п/п</w:t>
                  </w:r>
                </w:p>
              </w:tc>
              <w:tc>
                <w:tcPr>
                  <w:tcW w:w="3677" w:type="dxa"/>
                  <w:gridSpan w:val="5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277" w:type="dxa"/>
                  <w:gridSpan w:val="6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776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2022-2024 (прогноз)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300"/>
              </w:trPr>
              <w:tc>
                <w:tcPr>
                  <w:tcW w:w="459" w:type="dxa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77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Число опорных пунктов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315"/>
              </w:trPr>
              <w:tc>
                <w:tcPr>
                  <w:tcW w:w="9457" w:type="dxa"/>
                  <w:gridSpan w:val="2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EB2BDA" w:rsidRDefault="00EB2BDA">
                  <w:pPr>
                    <w:pStyle w:val="af1"/>
                    <w:spacing w:after="0"/>
                    <w:ind w:firstLine="70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B2BDA" w:rsidRDefault="0061656C">
                  <w:pPr>
                    <w:pStyle w:val="af1"/>
                    <w:spacing w:after="0"/>
                    <w:ind w:firstLine="709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Развитие отраслей социальной сферы.</w:t>
                  </w:r>
                </w:p>
                <w:p w:rsidR="00EB2BDA" w:rsidRDefault="0061656C">
                  <w:pPr>
                    <w:pStyle w:val="af1"/>
                    <w:spacing w:after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Прогнозом на 2022 год и на период до 2024 года определены следующие приоритеты социально-экономического развития Бондаревского сельского поселения Кантемировского муниципального района Воронежской области:</w:t>
                  </w:r>
                </w:p>
                <w:p w:rsidR="00EB2BDA" w:rsidRDefault="0061656C">
                  <w:pPr>
                    <w:pStyle w:val="af1"/>
                    <w:spacing w:after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-повышение уровня жизни населения Бондаревского сельского поселения, в том числе на основе развития социальной инфраструктуры;</w:t>
                  </w:r>
                </w:p>
                <w:p w:rsidR="00EB2BDA" w:rsidRDefault="0061656C">
                  <w:pPr>
                    <w:pStyle w:val="af1"/>
                    <w:spacing w:after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            </w:r>
                </w:p>
                <w:p w:rsidR="00EB2BDA" w:rsidRDefault="0061656C">
                  <w:pPr>
                    <w:pStyle w:val="af1"/>
                    <w:spacing w:after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-развитие жилищной сферы в Бондаревском сельском поселении;</w:t>
                  </w:r>
                </w:p>
                <w:p w:rsidR="00EB2BDA" w:rsidRDefault="0061656C">
                  <w:pPr>
                    <w:pStyle w:val="af1"/>
                    <w:spacing w:after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-создание условий для гармоничного развития подрастающего поколения в Бондаревском сельском поселении;</w:t>
                  </w:r>
                </w:p>
                <w:p w:rsidR="00EB2BDA" w:rsidRDefault="0061656C">
                  <w:pPr>
                    <w:pStyle w:val="af1"/>
                    <w:spacing w:after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-сохранение культурного наследия в поселении.</w:t>
                  </w:r>
                </w:p>
                <w:p w:rsidR="00EB2BDA" w:rsidRDefault="00EB2BDA">
                  <w:pPr>
                    <w:pStyle w:val="af1"/>
                    <w:spacing w:after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B2BDA" w:rsidRDefault="0061656C">
                  <w:pPr>
                    <w:pStyle w:val="afa"/>
                    <w:spacing w:after="0"/>
                    <w:ind w:left="0" w:firstLine="709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Культура</w:t>
                  </w:r>
                </w:p>
                <w:p w:rsidR="00EB2BDA" w:rsidRDefault="0061656C">
                  <w:pPr>
                    <w:pStyle w:val="afa"/>
                    <w:spacing w:after="0"/>
                    <w:ind w:left="0"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202</w:t>
                  </w:r>
                  <w:r w:rsidR="00D6677B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 xml:space="preserve"> году сеть культурно-досуговых учреждений сельского поселения представлена 2-мя библиотеками, 2-мя клубными учреждениями.</w:t>
                  </w:r>
                </w:p>
                <w:p w:rsidR="00EB2BDA" w:rsidRDefault="0061656C">
                  <w:pPr>
                    <w:pStyle w:val="af1"/>
                    <w:spacing w:after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В дальнейшем будет продолжена работа по улучшению материальной базы сельских библиотек и учреждений культуры, а также по повышению качества предоставляемых населению муниципальных услуг в области культуры.</w:t>
                  </w:r>
                </w:p>
                <w:p w:rsidR="00EB2BDA" w:rsidRDefault="0061656C">
                  <w:pPr>
                    <w:pStyle w:val="af1"/>
                    <w:spacing w:after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культурно-досуговых учреждениях планируем вводить инновационные формы организации досуга населения, обеспечивающие широкий доступ всех социальных слоев к ценностям отечественной и мировой культуры и достигнуть большего процента охвата услугами культуры сельского населения, в том числе разных возрастных категорий.</w:t>
                  </w:r>
                </w:p>
                <w:p w:rsidR="00EB2BDA" w:rsidRDefault="0061656C">
                  <w:pPr>
                    <w:pStyle w:val="af1"/>
                    <w:spacing w:after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Проведение этих мероприятий создаст условия для повышения качества и разнообразия услуг, предоставляемых в сфере культуры, для модернизации работы учреждений культуры поселения.</w:t>
                  </w:r>
                </w:p>
                <w:p w:rsidR="00EB2BDA" w:rsidRDefault="00EB2BDA">
                  <w:pPr>
                    <w:pStyle w:val="af1"/>
                    <w:spacing w:after="0"/>
                    <w:ind w:firstLine="70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B2BDA" w:rsidRDefault="0061656C">
                  <w:pPr>
                    <w:pStyle w:val="af1"/>
                    <w:spacing w:after="0"/>
                    <w:ind w:firstLine="709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  <w:p w:rsidR="00EB2BDA" w:rsidRDefault="0061656C">
                  <w:pPr>
                    <w:pStyle w:val="af1"/>
                    <w:spacing w:after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сельском поселении спортивная работа ведется в учреждениях образования и на летних плоскостных спортивных сооружениях (спортивных площадках).</w:t>
                  </w:r>
                </w:p>
                <w:p w:rsidR="00EB2BDA" w:rsidRDefault="0061656C">
                  <w:pPr>
                    <w:pStyle w:val="af1"/>
                    <w:spacing w:after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Спортивных залов по сельскому поселению</w:t>
                  </w:r>
                  <w:r w:rsidR="001E14DD">
                    <w:rPr>
                      <w:rFonts w:ascii="Arial" w:hAnsi="Arial" w:cs="Arial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C7FB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Фактическая мощность плоскостных сооружений составляет </w:t>
                  </w:r>
                  <w:r w:rsidR="001E14DD">
                    <w:rPr>
                      <w:rFonts w:ascii="Arial" w:hAnsi="Arial" w:cs="Arial"/>
                      <w:sz w:val="24"/>
                      <w:szCs w:val="24"/>
                    </w:rPr>
                    <w:t>- 263320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EB2BDA" w:rsidRDefault="00EB2BDA">
                  <w:pPr>
                    <w:pStyle w:val="af1"/>
                    <w:spacing w:after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B2BDA" w:rsidRDefault="0061656C">
                  <w:pPr>
                    <w:ind w:firstLine="70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063"/>
                    </w:rPr>
                    <w:t>18. Показатели спорта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 </w:t>
                  </w:r>
                </w:p>
              </w:tc>
            </w:tr>
            <w:tr w:rsidR="00EB2BDA">
              <w:trPr>
                <w:trHeight w:val="612"/>
              </w:trPr>
              <w:tc>
                <w:tcPr>
                  <w:tcW w:w="459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№п/п</w:t>
                  </w:r>
                </w:p>
              </w:tc>
              <w:tc>
                <w:tcPr>
                  <w:tcW w:w="3677" w:type="dxa"/>
                  <w:gridSpan w:val="5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277" w:type="dxa"/>
                  <w:gridSpan w:val="6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776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2022-2024 (прогноз)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B2BDA">
              <w:trPr>
                <w:trHeight w:val="240"/>
              </w:trPr>
              <w:tc>
                <w:tcPr>
                  <w:tcW w:w="459" w:type="dxa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77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Число спортивных сооружений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BC7FBE">
                  <w:pPr>
                    <w:jc w:val="center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BC7FBE">
                  <w:pPr>
                    <w:jc w:val="center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BC7FBE" w:rsidP="00BC7FBE">
                  <w:pPr>
                    <w:jc w:val="center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B2BDA">
              <w:trPr>
                <w:trHeight w:val="240"/>
              </w:trPr>
              <w:tc>
                <w:tcPr>
                  <w:tcW w:w="459" w:type="dxa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77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Плоскостные спортивные сооружения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B2BDA">
              <w:trPr>
                <w:trHeight w:val="240"/>
              </w:trPr>
              <w:tc>
                <w:tcPr>
                  <w:tcW w:w="459" w:type="dxa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77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Число детских и подростковых физкультурно-спортивных клубов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B2BDA">
              <w:trPr>
                <w:trHeight w:val="240"/>
              </w:trPr>
              <w:tc>
                <w:tcPr>
                  <w:tcW w:w="459" w:type="dxa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77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Проведение мероприятий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EB2BD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EB2BDA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B2BDA">
              <w:trPr>
                <w:trHeight w:val="300"/>
              </w:trPr>
              <w:tc>
                <w:tcPr>
                  <w:tcW w:w="9457" w:type="dxa"/>
                  <w:gridSpan w:val="2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EB2BDA" w:rsidRDefault="00EB2BDA">
                  <w:pPr>
                    <w:ind w:firstLine="709"/>
                    <w:jc w:val="both"/>
                    <w:rPr>
                      <w:rFonts w:ascii="Arial" w:hAnsi="Arial" w:cs="Arial"/>
                      <w:b/>
                      <w:bCs/>
                      <w:color w:val="003063"/>
                      <w:lang w:val="en-US"/>
                    </w:rPr>
                  </w:pPr>
                </w:p>
                <w:p w:rsidR="00EB2BDA" w:rsidRDefault="00EB2BDA">
                  <w:pPr>
                    <w:ind w:firstLine="709"/>
                    <w:jc w:val="both"/>
                    <w:rPr>
                      <w:rFonts w:ascii="Arial" w:hAnsi="Arial" w:cs="Arial"/>
                      <w:b/>
                      <w:bCs/>
                      <w:color w:val="003063"/>
                      <w:lang w:val="en-US"/>
                    </w:rPr>
                  </w:pPr>
                </w:p>
                <w:p w:rsidR="00EB2BDA" w:rsidRDefault="0061656C">
                  <w:pPr>
                    <w:ind w:firstLine="70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063"/>
                    </w:rPr>
                    <w:t>19. Показатели культуры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612"/>
              </w:trPr>
              <w:tc>
                <w:tcPr>
                  <w:tcW w:w="459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№п/п</w:t>
                  </w:r>
                </w:p>
              </w:tc>
              <w:tc>
                <w:tcPr>
                  <w:tcW w:w="3677" w:type="dxa"/>
                  <w:gridSpan w:val="5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277" w:type="dxa"/>
                  <w:gridSpan w:val="6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66699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776" w:type="dxa"/>
                  <w:gridSpan w:val="3"/>
                  <w:tcBorders>
                    <w:top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63659C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2022-2024 (прогноз)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270"/>
              </w:trPr>
              <w:tc>
                <w:tcPr>
                  <w:tcW w:w="459" w:type="dxa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77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Дома культуры, клубы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270"/>
              </w:trPr>
              <w:tc>
                <w:tcPr>
                  <w:tcW w:w="459" w:type="dxa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77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Массовые библиотеки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270"/>
              </w:trPr>
              <w:tc>
                <w:tcPr>
                  <w:tcW w:w="459" w:type="dxa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77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Музеи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270"/>
              </w:trPr>
              <w:tc>
                <w:tcPr>
                  <w:tcW w:w="459" w:type="dxa"/>
                  <w:tcBorders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77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Парки</w:t>
                  </w:r>
                </w:p>
              </w:tc>
              <w:tc>
                <w:tcPr>
                  <w:tcW w:w="1134" w:type="dxa"/>
                  <w:gridSpan w:val="5"/>
                  <w:tcBorders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7" w:type="dxa"/>
                  <w:gridSpan w:val="6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76" w:type="dxa"/>
                  <w:gridSpan w:val="3"/>
                  <w:tcBorders>
                    <w:bottom w:val="single" w:sz="8" w:space="0" w:color="003063"/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B2BDA">
              <w:trPr>
                <w:trHeight w:val="270"/>
              </w:trPr>
              <w:tc>
                <w:tcPr>
                  <w:tcW w:w="459" w:type="dxa"/>
                  <w:tcBorders>
                    <w:left w:val="single" w:sz="8" w:space="0" w:color="003063"/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77" w:type="dxa"/>
                  <w:gridSpan w:val="5"/>
                  <w:tcBorders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Кружки для взрослых и детей по интересам</w:t>
                  </w:r>
                </w:p>
              </w:tc>
              <w:tc>
                <w:tcPr>
                  <w:tcW w:w="1134" w:type="dxa"/>
                  <w:gridSpan w:val="5"/>
                  <w:tcBorders>
                    <w:right w:val="single" w:sz="8" w:space="0" w:color="003063"/>
                  </w:tcBorders>
                  <w:shd w:val="clear" w:color="auto" w:fill="EAEAEA"/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063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7" w:type="dxa"/>
                  <w:gridSpan w:val="6"/>
                  <w:tcBorders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76" w:type="dxa"/>
                  <w:gridSpan w:val="3"/>
                  <w:tcBorders>
                    <w:right w:val="single" w:sz="8" w:space="0" w:color="003063"/>
                  </w:tcBorders>
                  <w:vAlign w:val="center"/>
                </w:tcPr>
                <w:p w:rsidR="00EB2BDA" w:rsidRDefault="006165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6" w:type="dxa"/>
                  <w:tcMar>
                    <w:left w:w="22" w:type="dxa"/>
                    <w:right w:w="22" w:type="dxa"/>
                  </w:tcMar>
                  <w:vAlign w:val="center"/>
                </w:tcPr>
                <w:p w:rsidR="00EB2BDA" w:rsidRDefault="0061656C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EB2BDA" w:rsidRDefault="00EB2BD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EB2BDA" w:rsidRDefault="00EB2BDA">
      <w:pPr>
        <w:ind w:firstLine="709"/>
        <w:jc w:val="both"/>
        <w:rPr>
          <w:rFonts w:ascii="Arial" w:hAnsi="Arial" w:cs="Arial"/>
        </w:rPr>
      </w:pPr>
    </w:p>
    <w:p w:rsidR="00EB2BDA" w:rsidRDefault="0061656C">
      <w:pPr>
        <w:pStyle w:val="af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целом для прогноза социально-экономического развития сельского поселения на 2022 – 2024 </w:t>
      </w:r>
      <w:proofErr w:type="spellStart"/>
      <w:r>
        <w:rPr>
          <w:rFonts w:ascii="Arial" w:hAnsi="Arial" w:cs="Arial"/>
          <w:sz w:val="24"/>
          <w:szCs w:val="24"/>
        </w:rPr>
        <w:t>г.г</w:t>
      </w:r>
      <w:proofErr w:type="spellEnd"/>
      <w:r>
        <w:rPr>
          <w:rFonts w:ascii="Arial" w:hAnsi="Arial" w:cs="Arial"/>
          <w:sz w:val="24"/>
          <w:szCs w:val="24"/>
        </w:rPr>
        <w:t>. остается характерным динамичное развитие экономики и социальной сферы, позволяющее создать условия для дальнейшего повышения уровня жизни населения Бондаревского сельского поселения Кантемировского муниципального района Воронежской области.</w:t>
      </w:r>
    </w:p>
    <w:p w:rsidR="00EB2BDA" w:rsidRDefault="0061656C">
      <w:pPr>
        <w:pStyle w:val="report"/>
        <w:spacing w:beforeAutospacing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Экономический потенциал поселения значителен, но в настоящее время слабо задействован, особенно в части, развития предпринимательства, переработки сельскохозяйственной продукции, развития услуг населению, развития личных подсобных хозяйств.</w:t>
      </w:r>
    </w:p>
    <w:p w:rsidR="00EB2BDA" w:rsidRDefault="0061656C">
      <w:pPr>
        <w:pStyle w:val="report"/>
        <w:spacing w:beforeAutospacing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Имеются значительные колебания в темпах развития оборота розничной торговли, платных услуг населению, уровнях средней заработной платы, показателях обеспечения объектами социальной сферы.</w:t>
      </w:r>
    </w:p>
    <w:p w:rsidR="00EB2BDA" w:rsidRDefault="0061656C">
      <w:pPr>
        <w:pStyle w:val="report"/>
        <w:spacing w:beforeAutospacing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Базовый ресурсный потенциал территории (природно-ресурсный, экономико-географический, демографический) не получает должного развития. 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 и мелких фермеров.</w:t>
      </w:r>
    </w:p>
    <w:p w:rsidR="00EB2BDA" w:rsidRDefault="0061656C">
      <w:pPr>
        <w:pStyle w:val="report"/>
        <w:spacing w:beforeAutospacing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Трудовой и производственный потенциал имеют хорошие резервы для развития, но задействован на местном уровне только на 60%.</w:t>
      </w:r>
    </w:p>
    <w:p w:rsidR="00EB2BDA" w:rsidRDefault="0061656C">
      <w:pPr>
        <w:pStyle w:val="report"/>
        <w:spacing w:beforeAutospacing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Наряду с наличием в поселении представителей сельскохозяйственного бизнеса, которые динамично развиваются на фоне сельскохозяйственных предприятий района, заработная плата в них остается низкой и составляет в пределах от 8500 до 16000 рублей. 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поселении присутствует тенденция старения и выбывания квалифицированных кадров (трактористов, шоферов 2-1 класса, учителей, ветврачей и </w:t>
      </w:r>
      <w:proofErr w:type="spellStart"/>
      <w:r>
        <w:rPr>
          <w:rFonts w:ascii="Arial" w:hAnsi="Arial" w:cs="Arial"/>
        </w:rPr>
        <w:t>ветсанитаров</w:t>
      </w:r>
      <w:proofErr w:type="spellEnd"/>
      <w:r>
        <w:rPr>
          <w:rFonts w:ascii="Arial" w:hAnsi="Arial" w:cs="Arial"/>
        </w:rPr>
        <w:t>) демографические проблемы, связанные со старением, слабой рождаемостью и оттоком молодежи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ее в высших и средних учебных заведениях.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Давно продолжается слабое обновление материально-технической базы объектов здравоохранения, культуры, спорта. Это происходит из-за нехватки денег в бюджете поселения.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Проанализировав вышеперечисленные отправные прогнозные рубежи необходимо сделать вывод: главной целью социально-экономического развития Бондаревского сельского поселения Кантемировского муниципального района Воронежской области должно стать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повышение качества и уровня жизни населения, его занятости и </w:t>
      </w:r>
      <w:proofErr w:type="spellStart"/>
      <w:r>
        <w:rPr>
          <w:rFonts w:ascii="Arial" w:hAnsi="Arial" w:cs="Arial"/>
          <w:bCs/>
        </w:rPr>
        <w:t>самозанятости</w:t>
      </w:r>
      <w:proofErr w:type="spellEnd"/>
      <w:r>
        <w:rPr>
          <w:rFonts w:ascii="Arial" w:hAnsi="Arial" w:cs="Arial"/>
          <w:bCs/>
        </w:rPr>
        <w:t>,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и качество жизни населения должны рассматриваться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EB2BDA" w:rsidRDefault="0061656C">
      <w:pPr>
        <w:ind w:firstLine="709"/>
        <w:jc w:val="center"/>
        <w:rPr>
          <w:rFonts w:ascii="Arial" w:hAnsi="Arial" w:cs="Arial"/>
          <w:b/>
        </w:rPr>
      </w:pPr>
      <w:bookmarkStart w:id="1" w:name="_Toc132716915"/>
      <w:r>
        <w:rPr>
          <w:rFonts w:ascii="Arial" w:hAnsi="Arial" w:cs="Arial"/>
          <w:b/>
        </w:rPr>
        <w:t>Основные стратегические направления развития поселения</w:t>
      </w:r>
      <w:bookmarkEnd w:id="1"/>
      <w:r>
        <w:rPr>
          <w:rFonts w:ascii="Arial" w:hAnsi="Arial" w:cs="Arial"/>
          <w:b/>
        </w:rPr>
        <w:t>.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 анализа прогноза вытекает, что стратегическими направлениями развития поселения должны стать следующие действия:</w:t>
      </w:r>
    </w:p>
    <w:p w:rsidR="00EB2BDA" w:rsidRPr="0020447B" w:rsidRDefault="00EB2BDA">
      <w:pPr>
        <w:ind w:firstLine="709"/>
        <w:jc w:val="both"/>
        <w:rPr>
          <w:rFonts w:ascii="Arial" w:hAnsi="Arial" w:cs="Arial"/>
        </w:rPr>
      </w:pPr>
    </w:p>
    <w:p w:rsidR="00EB2BDA" w:rsidRDefault="0061656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Экономические: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Содействие развитию крупного сельскохозяйственного бизнеса, и вовлечение его как потенциального инвестора для выполнения социальных проектов в областях образования, культуры и спорта, а также оказании помощи в содержании инженерной инфраструктуры на территории поселения на взаимовыгодных условиях.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мест: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- развитие сферы услуг, в том числе ремонт и сервисное обслуживание автомобилей (легализация этого бизнеса);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- развитие кредитной кооперации на территории поселения; 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- предоставление парикмахерских услуг, косметический кабинет;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- ремонт и пошив одежды, ремонт обуви.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- распиловка и продажа пиломатериала, столярные услуги, заточка инструментов;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- услуги печника, ремонт и монтаж местного отопления, услуги электрика; 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lastRenderedPageBreak/>
        <w:t>- развитие сферы сбора закупа и переработки сельскохозяйственного сырья;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- организация стоматологического, массажного кабинета;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- организация производства продукции с высокой добавочной стоимостью (круглогодичное производство грибов, производство препаратов на основе пчеловодства, переработка овощей).</w:t>
      </w:r>
    </w:p>
    <w:p w:rsidR="00EB2BDA" w:rsidRDefault="00EB2BDA">
      <w:pPr>
        <w:ind w:firstLine="709"/>
        <w:jc w:val="both"/>
        <w:rPr>
          <w:rFonts w:ascii="Arial" w:hAnsi="Arial" w:cs="Arial"/>
        </w:rPr>
      </w:pPr>
    </w:p>
    <w:p w:rsidR="00EB2BDA" w:rsidRDefault="0061656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Социальные</w:t>
      </w:r>
      <w:r>
        <w:rPr>
          <w:rFonts w:ascii="Arial" w:hAnsi="Arial" w:cs="Arial"/>
        </w:rPr>
        <w:t>: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Развитие социальной инфраструктуры, образования, здравоохранения, культуры, физкультуры и спорта: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- участие в отраслевых районных, областных программах, грантах по развитию и укреплению данных отраслей;</w:t>
      </w:r>
    </w:p>
    <w:p w:rsidR="00EB2BDA" w:rsidRDefault="0061656C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содействие предпринимательской инициативе по развитию данных направлений и всяческое ее поощрение (развитие и увеличение объемов платных услуг</w:t>
      </w:r>
      <w:r w:rsidR="00BC7FBE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предоставляемых учреждениями образования, здравоохранения, культуры, спорта на территории поселения).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Развитие личного подворья граждан, как источника доходов населения и развития на этом фоне мини предприятий переработки (глубокая заморозка, сушка, консервация овощей, ягод, грибов, пакетирование свежих овощей):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- привлечение льготных кредитов на развитие личных подсобных хозяйств;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- организация торговли населения продукцией с личных подворий;</w:t>
      </w:r>
    </w:p>
    <w:p w:rsidR="00EB2BDA" w:rsidRDefault="0061656C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по максимуму привлечение населения к участию в сезонных ярмарках;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- организация закупи молока от населения частными предпринимателям;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- введение в практику </w:t>
      </w:r>
      <w:proofErr w:type="spellStart"/>
      <w:r>
        <w:rPr>
          <w:rFonts w:ascii="Arial" w:hAnsi="Arial" w:cs="Arial"/>
          <w:iCs/>
        </w:rPr>
        <w:t>льготированной</w:t>
      </w:r>
      <w:proofErr w:type="spellEnd"/>
      <w:r>
        <w:rPr>
          <w:rFonts w:ascii="Arial" w:hAnsi="Arial" w:cs="Arial"/>
          <w:iCs/>
        </w:rPr>
        <w:t xml:space="preserve"> оплаты за воду гражданам, имеющим крупнорогатый скот и сдающим молоко;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- помощь населению в реализации мяса с личных подсобных хозяйств;</w:t>
      </w:r>
    </w:p>
    <w:p w:rsidR="00EB2BDA" w:rsidRDefault="0061656C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поддержка предпринимателей, ведущих закупку продукции в личных подсобных хозяйствах на выгодных для населения условиях.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Содействие в привлечении молодых специалистов в поселение (учителей, работников культуры, муниципальных служащих):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- помощь членам их семей в устройстве на работу;</w:t>
      </w:r>
    </w:p>
    <w:p w:rsidR="00EB2BDA" w:rsidRDefault="0061656C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помощь в решении вопросов по приобретению этими специалистами жилья через районные, областные и федеральные программы, направленные на строительство или приобретение жилья, помощь в получении кредитов, в том числе ипотечных на жильё.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Содействие в обеспечении социальной поддержки слабозащищенным слоям населения: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- консультирование, помощь в получении субсидий, пособий различных льготных выплат;</w:t>
      </w:r>
    </w:p>
    <w:p w:rsidR="00EB2BDA" w:rsidRDefault="0061656C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</w:t>
      </w:r>
      <w:proofErr w:type="spellStart"/>
      <w:r>
        <w:rPr>
          <w:rFonts w:ascii="Arial" w:hAnsi="Arial" w:cs="Arial"/>
          <w:iCs/>
        </w:rPr>
        <w:t>санаторно</w:t>
      </w:r>
      <w:proofErr w:type="spellEnd"/>
      <w:r>
        <w:rPr>
          <w:rFonts w:ascii="Arial" w:hAnsi="Arial" w:cs="Arial"/>
          <w:iCs/>
        </w:rPr>
        <w:t xml:space="preserve"> - курортное лечение).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Привлечение средств из областного и федерального бюджетов на укрепление жилищно-коммунальной сферы:</w:t>
      </w:r>
      <w:r>
        <w:rPr>
          <w:rFonts w:ascii="Arial" w:hAnsi="Arial" w:cs="Arial"/>
          <w:iCs/>
        </w:rPr>
        <w:t xml:space="preserve"> 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- по «Программе ветхое жилье» для ремонта и строительства жилья;</w:t>
      </w:r>
    </w:p>
    <w:p w:rsidR="00EB2BDA" w:rsidRDefault="0061656C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по программам «Молодая семья», «Сельское жилье», «Жилье для молодых специалистов» ипотечное кредитование для строительства и приобретения жилья гражданами, работающими и проживающими на территории поселения.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Содействие в развитии систем телефонной и сотовой связи, развитие сети Интернет, модернизация и развитие телевещания.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Освещение населенных пунктов поселения.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Привлечение средств из областного и федерального бюджетов на строительство и ремонт внутри-поселковых дорог (в том числе грунтовых).</w:t>
      </w:r>
    </w:p>
    <w:p w:rsidR="00EB2BDA" w:rsidRDefault="006165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Привлечение средств из бюджетов различных уровней для благоустройства населенных пунктов поселения.</w:t>
      </w:r>
    </w:p>
    <w:p w:rsidR="00EB2BDA" w:rsidRDefault="00EB2BDA">
      <w:pPr>
        <w:ind w:firstLine="709"/>
        <w:jc w:val="both"/>
        <w:rPr>
          <w:rFonts w:ascii="Arial" w:hAnsi="Arial" w:cs="Arial"/>
        </w:rPr>
      </w:pPr>
    </w:p>
    <w:p w:rsidR="00EB2BDA" w:rsidRDefault="0061656C">
      <w:pPr>
        <w:pStyle w:val="report"/>
        <w:spacing w:beforeAutospacing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Экономика Бондаревского сельского поселения Кантемировского муниципального района Воронежской области находится в настоящее время в состоянии «ожидания преобразований». Положительным можно считать то, что к настоящему времени приходит осознание предпринимателями, служащими, населением того факта, что экономика поселения не может успешно функционировать, если она прямо или косвенно не направлена на удовлетворение потребностей и интересов людей.</w:t>
      </w:r>
    </w:p>
    <w:sectPr w:rsidR="00EB2BDA"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005BB"/>
    <w:multiLevelType w:val="multilevel"/>
    <w:tmpl w:val="EBE8BF8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735721CD"/>
    <w:multiLevelType w:val="multilevel"/>
    <w:tmpl w:val="BB00A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DA"/>
    <w:rsid w:val="000535A5"/>
    <w:rsid w:val="000B1CAE"/>
    <w:rsid w:val="00123D2E"/>
    <w:rsid w:val="001E14DD"/>
    <w:rsid w:val="0020447B"/>
    <w:rsid w:val="0028590A"/>
    <w:rsid w:val="00394065"/>
    <w:rsid w:val="003E5550"/>
    <w:rsid w:val="004D194B"/>
    <w:rsid w:val="0057725C"/>
    <w:rsid w:val="00584A59"/>
    <w:rsid w:val="005C2204"/>
    <w:rsid w:val="0061656C"/>
    <w:rsid w:val="00820545"/>
    <w:rsid w:val="00826349"/>
    <w:rsid w:val="00A06BD6"/>
    <w:rsid w:val="00BC7FBE"/>
    <w:rsid w:val="00C36F2F"/>
    <w:rsid w:val="00D632CA"/>
    <w:rsid w:val="00D6677B"/>
    <w:rsid w:val="00EB2BDA"/>
    <w:rsid w:val="00F53132"/>
    <w:rsid w:val="00F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0D681-6F61-4635-8165-9EA3E84F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81D"/>
    <w:pPr>
      <w:spacing w:before="480"/>
      <w:contextualSpacing/>
      <w:outlineLvl w:val="0"/>
    </w:pPr>
    <w:rPr>
      <w:rFonts w:eastAsiaTheme="minorHAnsi"/>
      <w:smallCaps/>
      <w:spacing w:val="5"/>
      <w:sz w:val="36"/>
      <w:szCs w:val="36"/>
    </w:rPr>
  </w:style>
  <w:style w:type="paragraph" w:styleId="2">
    <w:name w:val="heading 2"/>
    <w:basedOn w:val="a"/>
    <w:next w:val="a"/>
    <w:unhideWhenUsed/>
    <w:qFormat/>
    <w:rsid w:val="0083481D"/>
    <w:pPr>
      <w:spacing w:before="200" w:line="271" w:lineRule="auto"/>
      <w:outlineLvl w:val="1"/>
    </w:pPr>
    <w:rPr>
      <w:rFonts w:eastAsiaTheme="minorHAnsi"/>
      <w:small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3481D"/>
    <w:pPr>
      <w:spacing w:before="200" w:line="271" w:lineRule="auto"/>
      <w:outlineLvl w:val="2"/>
    </w:pPr>
    <w:rPr>
      <w:rFonts w:eastAsiaTheme="minorHAns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3481D"/>
    <w:pPr>
      <w:spacing w:line="271" w:lineRule="auto"/>
      <w:outlineLvl w:val="3"/>
    </w:pPr>
    <w:rPr>
      <w:rFonts w:eastAsiaTheme="minorHAnsi"/>
      <w:b/>
      <w:bCs/>
      <w:spacing w:val="5"/>
    </w:rPr>
  </w:style>
  <w:style w:type="paragraph" w:styleId="5">
    <w:name w:val="heading 5"/>
    <w:basedOn w:val="a"/>
    <w:next w:val="a"/>
    <w:link w:val="50"/>
    <w:uiPriority w:val="9"/>
    <w:unhideWhenUsed/>
    <w:qFormat/>
    <w:rsid w:val="0083481D"/>
    <w:pPr>
      <w:spacing w:line="271" w:lineRule="auto"/>
      <w:outlineLvl w:val="4"/>
    </w:pPr>
    <w:rPr>
      <w:rFonts w:eastAsiaTheme="minorHAnsi"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83481D"/>
    <w:pPr>
      <w:shd w:val="clear" w:color="auto" w:fill="FFFFFF" w:themeFill="background1"/>
      <w:spacing w:line="271" w:lineRule="auto"/>
      <w:outlineLvl w:val="5"/>
    </w:pPr>
    <w:rPr>
      <w:rFonts w:eastAsiaTheme="minorHAns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81D"/>
    <w:pPr>
      <w:outlineLvl w:val="6"/>
    </w:pPr>
    <w:rPr>
      <w:rFonts w:eastAsiaTheme="minorHAns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481D"/>
    <w:pPr>
      <w:outlineLvl w:val="7"/>
    </w:pPr>
    <w:rPr>
      <w:rFonts w:eastAsiaTheme="minorHAns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481D"/>
    <w:pPr>
      <w:spacing w:line="271" w:lineRule="auto"/>
      <w:outlineLvl w:val="8"/>
    </w:pPr>
    <w:rPr>
      <w:rFonts w:eastAsiaTheme="minorHAns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3481D"/>
    <w:rPr>
      <w:rFonts w:ascii="Times New Roman" w:hAnsi="Times New Roman" w:cs="Times New Roman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qFormat/>
    <w:rsid w:val="0083481D"/>
    <w:rPr>
      <w:rFonts w:ascii="Times New Roman" w:hAnsi="Times New Roman" w:cs="Times New Roman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83481D"/>
    <w:rPr>
      <w:rFonts w:ascii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83481D"/>
    <w:rPr>
      <w:rFonts w:ascii="Times New Roman" w:hAnsi="Times New Roman" w:cs="Times New Roman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83481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83481D"/>
    <w:rPr>
      <w:rFonts w:ascii="Times New Roman" w:hAnsi="Times New Roman" w:cs="Times New Roman"/>
      <w:b/>
      <w:bCs/>
      <w:color w:val="595959" w:themeColor="text1" w:themeTint="A6"/>
      <w:spacing w:val="5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83481D"/>
    <w:rPr>
      <w:rFonts w:ascii="Times New Roman" w:hAnsi="Times New Roman" w:cs="Times New Roman"/>
      <w:b/>
      <w:bCs/>
      <w:i/>
      <w:iCs/>
      <w:color w:val="5A5A5A" w:themeColor="text1" w:themeTint="A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83481D"/>
    <w:rPr>
      <w:rFonts w:ascii="Times New Roman" w:hAnsi="Times New Roman" w:cs="Times New Roman"/>
      <w:b/>
      <w:bCs/>
      <w:color w:val="7F7F7F" w:themeColor="text1" w:themeTint="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83481D"/>
    <w:rPr>
      <w:rFonts w:ascii="Times New Roman" w:hAnsi="Times New Roman" w:cs="Times New Roman"/>
      <w:b/>
      <w:bCs/>
      <w:i/>
      <w:iCs/>
      <w:color w:val="7F7F7F" w:themeColor="text1" w:themeTint="80"/>
      <w:sz w:val="18"/>
      <w:szCs w:val="18"/>
      <w:lang w:eastAsia="ru-RU"/>
    </w:rPr>
  </w:style>
  <w:style w:type="character" w:customStyle="1" w:styleId="a3">
    <w:name w:val="Название Знак"/>
    <w:basedOn w:val="a0"/>
    <w:qFormat/>
    <w:rsid w:val="0083481D"/>
    <w:rPr>
      <w:rFonts w:ascii="Times New Roman" w:hAnsi="Times New Roman" w:cs="Times New Roman"/>
      <w:smallCaps/>
      <w:sz w:val="52"/>
      <w:szCs w:val="52"/>
      <w:lang w:eastAsia="ru-RU"/>
    </w:rPr>
  </w:style>
  <w:style w:type="character" w:customStyle="1" w:styleId="a4">
    <w:name w:val="Подзаголовок Знак"/>
    <w:basedOn w:val="a0"/>
    <w:qFormat/>
    <w:rsid w:val="0083481D"/>
    <w:rPr>
      <w:rFonts w:ascii="Times New Roman" w:hAnsi="Times New Roman" w:cs="Times New Roman"/>
      <w:i/>
      <w:iCs/>
      <w:smallCaps/>
      <w:spacing w:val="10"/>
      <w:sz w:val="28"/>
      <w:szCs w:val="28"/>
      <w:lang w:eastAsia="ru-RU"/>
    </w:rPr>
  </w:style>
  <w:style w:type="character" w:styleId="a5">
    <w:name w:val="Strong"/>
    <w:qFormat/>
    <w:rsid w:val="0083481D"/>
    <w:rPr>
      <w:b/>
      <w:bCs/>
    </w:rPr>
  </w:style>
  <w:style w:type="character" w:styleId="a6">
    <w:name w:val="Emphasis"/>
    <w:uiPriority w:val="20"/>
    <w:qFormat/>
    <w:rsid w:val="0083481D"/>
    <w:rPr>
      <w:b/>
      <w:bCs/>
      <w:i/>
      <w:iCs/>
      <w:spacing w:val="10"/>
    </w:rPr>
  </w:style>
  <w:style w:type="character" w:customStyle="1" w:styleId="21">
    <w:name w:val="Цитата 2 Знак"/>
    <w:basedOn w:val="a0"/>
    <w:link w:val="22"/>
    <w:uiPriority w:val="29"/>
    <w:qFormat/>
    <w:rsid w:val="0083481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a7">
    <w:name w:val="Выделенная цитата Знак"/>
    <w:basedOn w:val="a0"/>
    <w:uiPriority w:val="30"/>
    <w:qFormat/>
    <w:rsid w:val="0083481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8">
    <w:name w:val="Subtle Emphasis"/>
    <w:uiPriority w:val="19"/>
    <w:qFormat/>
    <w:rsid w:val="0083481D"/>
    <w:rPr>
      <w:i/>
      <w:iCs/>
    </w:rPr>
  </w:style>
  <w:style w:type="character" w:styleId="a9">
    <w:name w:val="Intense Emphasis"/>
    <w:uiPriority w:val="21"/>
    <w:qFormat/>
    <w:rsid w:val="0083481D"/>
    <w:rPr>
      <w:b/>
      <w:bCs/>
      <w:i/>
      <w:iCs/>
    </w:rPr>
  </w:style>
  <w:style w:type="character" w:styleId="aa">
    <w:name w:val="Subtle Reference"/>
    <w:basedOn w:val="a0"/>
    <w:uiPriority w:val="31"/>
    <w:qFormat/>
    <w:rsid w:val="0083481D"/>
    <w:rPr>
      <w:smallCaps/>
    </w:rPr>
  </w:style>
  <w:style w:type="character" w:styleId="ab">
    <w:name w:val="Intense Reference"/>
    <w:uiPriority w:val="32"/>
    <w:qFormat/>
    <w:rsid w:val="0083481D"/>
    <w:rPr>
      <w:b/>
      <w:bCs/>
      <w:smallCaps/>
    </w:rPr>
  </w:style>
  <w:style w:type="character" w:styleId="ac">
    <w:name w:val="Book Title"/>
    <w:basedOn w:val="a0"/>
    <w:uiPriority w:val="33"/>
    <w:qFormat/>
    <w:rsid w:val="0083481D"/>
    <w:rPr>
      <w:i/>
      <w:iCs/>
      <w:smallCaps/>
      <w:spacing w:val="5"/>
    </w:rPr>
  </w:style>
  <w:style w:type="character" w:customStyle="1" w:styleId="ad">
    <w:name w:val="Основной текст Знак"/>
    <w:basedOn w:val="a0"/>
    <w:qFormat/>
    <w:rsid w:val="0083481D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qFormat/>
    <w:rsid w:val="00834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3"/>
    <w:qFormat/>
    <w:rsid w:val="00834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qFormat/>
    <w:rsid w:val="0083481D"/>
  </w:style>
  <w:style w:type="character" w:customStyle="1" w:styleId="af">
    <w:name w:val="Текст выноски Знак"/>
    <w:basedOn w:val="a0"/>
    <w:semiHidden/>
    <w:qFormat/>
    <w:rsid w:val="0083481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next w:val="af1"/>
    <w:qFormat/>
    <w:rsid w:val="0083481D"/>
    <w:pPr>
      <w:spacing w:after="300"/>
      <w:contextualSpacing/>
    </w:pPr>
    <w:rPr>
      <w:rFonts w:eastAsiaTheme="minorHAnsi"/>
      <w:smallCaps/>
      <w:sz w:val="52"/>
      <w:szCs w:val="52"/>
    </w:rPr>
  </w:style>
  <w:style w:type="paragraph" w:styleId="af1">
    <w:name w:val="Body Text"/>
    <w:basedOn w:val="a"/>
    <w:rsid w:val="0083481D"/>
    <w:pPr>
      <w:spacing w:after="120"/>
    </w:pPr>
    <w:rPr>
      <w:rFonts w:ascii="Times New Roman CYR" w:hAnsi="Times New Roman CYR" w:cs="Times New Roman CYR"/>
      <w:sz w:val="20"/>
      <w:szCs w:val="20"/>
    </w:rPr>
  </w:style>
  <w:style w:type="paragraph" w:styleId="af2">
    <w:name w:val="List"/>
    <w:basedOn w:val="af1"/>
    <w:rPr>
      <w:rFonts w:cs="Lucida Sans"/>
    </w:rPr>
  </w:style>
  <w:style w:type="paragraph" w:styleId="af3">
    <w:name w:val="caption"/>
    <w:basedOn w:val="a"/>
    <w:next w:val="a"/>
    <w:semiHidden/>
    <w:unhideWhenUsed/>
    <w:qFormat/>
    <w:rsid w:val="0083481D"/>
    <w:rPr>
      <w:b/>
      <w:bCs/>
    </w:rPr>
  </w:style>
  <w:style w:type="paragraph" w:styleId="af4">
    <w:name w:val="index heading"/>
    <w:basedOn w:val="a"/>
    <w:qFormat/>
    <w:pPr>
      <w:suppressLineNumbers/>
    </w:pPr>
    <w:rPr>
      <w:rFonts w:cs="Lucida Sans"/>
    </w:rPr>
  </w:style>
  <w:style w:type="paragraph" w:styleId="af5">
    <w:name w:val="Subtitle"/>
    <w:basedOn w:val="a"/>
    <w:next w:val="a"/>
    <w:qFormat/>
    <w:rsid w:val="0083481D"/>
    <w:rPr>
      <w:rFonts w:eastAsiaTheme="minorHAnsi"/>
      <w:i/>
      <w:iCs/>
      <w:smallCaps/>
      <w:spacing w:val="10"/>
      <w:sz w:val="28"/>
      <w:szCs w:val="28"/>
    </w:rPr>
  </w:style>
  <w:style w:type="paragraph" w:styleId="af6">
    <w:name w:val="No Spacing"/>
    <w:basedOn w:val="a"/>
    <w:uiPriority w:val="1"/>
    <w:qFormat/>
    <w:rsid w:val="0083481D"/>
    <w:rPr>
      <w:rFonts w:eastAsiaTheme="minorHAnsi"/>
    </w:rPr>
  </w:style>
  <w:style w:type="paragraph" w:styleId="af7">
    <w:name w:val="List Paragraph"/>
    <w:basedOn w:val="a"/>
    <w:uiPriority w:val="34"/>
    <w:qFormat/>
    <w:rsid w:val="0083481D"/>
    <w:pPr>
      <w:ind w:left="720"/>
      <w:contextualSpacing/>
    </w:pPr>
    <w:rPr>
      <w:rFonts w:eastAsiaTheme="minorHAnsi"/>
    </w:rPr>
  </w:style>
  <w:style w:type="paragraph" w:styleId="22">
    <w:name w:val="Quote"/>
    <w:basedOn w:val="a"/>
    <w:next w:val="a"/>
    <w:link w:val="21"/>
    <w:uiPriority w:val="29"/>
    <w:qFormat/>
    <w:rsid w:val="0083481D"/>
    <w:rPr>
      <w:rFonts w:eastAsiaTheme="minorHAnsi"/>
      <w:i/>
      <w:iCs/>
    </w:rPr>
  </w:style>
  <w:style w:type="paragraph" w:styleId="af8">
    <w:name w:val="Intense Quote"/>
    <w:basedOn w:val="a"/>
    <w:next w:val="a"/>
    <w:uiPriority w:val="30"/>
    <w:qFormat/>
    <w:rsid w:val="0083481D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rFonts w:eastAsiaTheme="minorHAnsi"/>
      <w:i/>
      <w:iCs/>
    </w:rPr>
  </w:style>
  <w:style w:type="paragraph" w:styleId="af9">
    <w:name w:val="TOC Heading"/>
    <w:basedOn w:val="1"/>
    <w:next w:val="a"/>
    <w:uiPriority w:val="39"/>
    <w:semiHidden/>
    <w:unhideWhenUsed/>
    <w:qFormat/>
    <w:rsid w:val="0083481D"/>
  </w:style>
  <w:style w:type="paragraph" w:styleId="afa">
    <w:name w:val="Body Text Indent"/>
    <w:basedOn w:val="a"/>
    <w:rsid w:val="0083481D"/>
    <w:pPr>
      <w:spacing w:after="120"/>
      <w:ind w:left="283"/>
    </w:pPr>
  </w:style>
  <w:style w:type="paragraph" w:styleId="24">
    <w:name w:val="Body Text 2"/>
    <w:basedOn w:val="a"/>
    <w:qFormat/>
    <w:rsid w:val="0083481D"/>
    <w:pPr>
      <w:spacing w:after="120" w:line="480" w:lineRule="auto"/>
    </w:pPr>
  </w:style>
  <w:style w:type="paragraph" w:customStyle="1" w:styleId="report">
    <w:name w:val="report"/>
    <w:basedOn w:val="a"/>
    <w:qFormat/>
    <w:rsid w:val="0083481D"/>
    <w:pPr>
      <w:spacing w:beforeAutospacing="1" w:afterAutospacing="1"/>
    </w:pPr>
  </w:style>
  <w:style w:type="paragraph" w:customStyle="1" w:styleId="afb">
    <w:name w:val="Знак Знак Знак Знак Знак Знак Знак Знак Знак Знак"/>
    <w:basedOn w:val="a"/>
    <w:qFormat/>
    <w:rsid w:val="0083481D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Balloon Text"/>
    <w:basedOn w:val="a"/>
    <w:semiHidden/>
    <w:qFormat/>
    <w:rsid w:val="0083481D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f5"/>
    <w:rsid w:val="0061656C"/>
    <w:pPr>
      <w:jc w:val="center"/>
    </w:pPr>
    <w:rPr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9ED6-7A01-4E98-977A-9996E24F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14</Pages>
  <Words>4198</Words>
  <Characters>23932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Елена Кутняхова</cp:lastModifiedBy>
  <cp:revision>7</cp:revision>
  <cp:lastPrinted>2020-12-02T16:43:00Z</cp:lastPrinted>
  <dcterms:created xsi:type="dcterms:W3CDTF">2021-11-11T10:38:00Z</dcterms:created>
  <dcterms:modified xsi:type="dcterms:W3CDTF">2022-03-30T06:27:00Z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